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19D" w:rsidRPr="00F7419D" w:rsidRDefault="00F7419D" w:rsidP="00F7419D">
      <w:pPr>
        <w:spacing w:after="160" w:line="259" w:lineRule="auto"/>
        <w:jc w:val="left"/>
        <w:rPr>
          <w:rFonts w:ascii="Arial Narrow" w:eastAsia="Arial Narrow" w:hAnsi="Arial Narrow" w:cs="Arial Narrow"/>
          <w:b/>
          <w:sz w:val="24"/>
          <w:szCs w:val="24"/>
        </w:rPr>
      </w:pPr>
    </w:p>
    <w:p w:rsidR="00F7419D" w:rsidRPr="00F7419D" w:rsidRDefault="00F7419D" w:rsidP="00F7419D">
      <w:pPr>
        <w:spacing w:after="160" w:line="259" w:lineRule="auto"/>
        <w:jc w:val="center"/>
        <w:rPr>
          <w:rFonts w:ascii="Times New Roman" w:eastAsia="Arial Narrow" w:hAnsi="Times New Roman" w:cs="Times New Roman"/>
          <w:b/>
          <w:sz w:val="24"/>
          <w:szCs w:val="24"/>
          <w:u w:val="single"/>
        </w:rPr>
      </w:pPr>
      <w:r w:rsidRPr="00F7419D">
        <w:rPr>
          <w:rFonts w:ascii="Times New Roman" w:eastAsia="Arial Narrow" w:hAnsi="Times New Roman" w:cs="Times New Roman"/>
          <w:b/>
          <w:sz w:val="24"/>
          <w:szCs w:val="24"/>
          <w:u w:val="single"/>
        </w:rPr>
        <w:t>PLIEGOS DE CLAUSULAS ADMINISTRATIVAS PARTICULARES (</w:t>
      </w:r>
      <w:proofErr w:type="spellStart"/>
      <w:r w:rsidRPr="00F7419D">
        <w:rPr>
          <w:rFonts w:ascii="Times New Roman" w:eastAsia="Arial Narrow" w:hAnsi="Times New Roman" w:cs="Times New Roman"/>
          <w:b/>
          <w:sz w:val="24"/>
          <w:szCs w:val="24"/>
          <w:u w:val="single"/>
        </w:rPr>
        <w:t>PCAP</w:t>
      </w:r>
      <w:proofErr w:type="spellEnd"/>
      <w:r w:rsidRPr="00F7419D">
        <w:rPr>
          <w:rFonts w:ascii="Times New Roman" w:eastAsia="Arial Narrow" w:hAnsi="Times New Roman" w:cs="Times New Roman"/>
          <w:b/>
          <w:sz w:val="24"/>
          <w:szCs w:val="24"/>
          <w:u w:val="single"/>
        </w:rPr>
        <w:t>).</w:t>
      </w:r>
    </w:p>
    <w:p w:rsidR="00F7419D" w:rsidRPr="00F7419D" w:rsidRDefault="00F7419D" w:rsidP="00F7419D">
      <w:pPr>
        <w:spacing w:after="160" w:line="259" w:lineRule="auto"/>
        <w:jc w:val="center"/>
        <w:rPr>
          <w:rFonts w:ascii="Times New Roman" w:eastAsia="Arial Narrow" w:hAnsi="Times New Roman" w:cs="Times New Roman"/>
          <w:b/>
          <w:sz w:val="24"/>
          <w:szCs w:val="24"/>
          <w:u w:val="single"/>
        </w:rPr>
      </w:pPr>
      <w:r w:rsidRPr="00F7419D">
        <w:rPr>
          <w:rFonts w:ascii="Times New Roman" w:eastAsia="Arial Narrow" w:hAnsi="Times New Roman" w:cs="Times New Roman"/>
          <w:b/>
          <w:sz w:val="24"/>
          <w:szCs w:val="24"/>
          <w:u w:val="single"/>
        </w:rPr>
        <w:t>CRITERIOS DE ADJUDICACIÓN DE LOS CONTRATOS.</w:t>
      </w:r>
    </w:p>
    <w:p w:rsidR="00F7419D" w:rsidRPr="00F7419D" w:rsidRDefault="00F7419D" w:rsidP="00F7419D">
      <w:pPr>
        <w:spacing w:after="160" w:line="259" w:lineRule="auto"/>
        <w:jc w:val="left"/>
        <w:rPr>
          <w:rFonts w:ascii="Times New Roman" w:eastAsia="Arial Narrow" w:hAnsi="Times New Roman" w:cs="Times New Roman"/>
          <w:b/>
          <w:sz w:val="24"/>
          <w:szCs w:val="24"/>
          <w:u w:val="single"/>
        </w:rPr>
      </w:pPr>
    </w:p>
    <w:p w:rsidR="00F7419D" w:rsidRPr="00F7419D" w:rsidRDefault="00F7419D" w:rsidP="00F7419D">
      <w:pPr>
        <w:spacing w:after="160" w:line="259" w:lineRule="auto"/>
        <w:jc w:val="center"/>
        <w:rPr>
          <w:rFonts w:ascii="Times New Roman" w:eastAsia="Arial Narrow" w:hAnsi="Times New Roman" w:cs="Times New Roman"/>
          <w:b/>
          <w:sz w:val="28"/>
          <w:szCs w:val="28"/>
        </w:rPr>
      </w:pPr>
      <w:bookmarkStart w:id="0" w:name="_GoBack"/>
      <w:bookmarkEnd w:id="0"/>
      <w:r w:rsidRPr="00F7419D">
        <w:rPr>
          <w:rFonts w:ascii="Times New Roman" w:eastAsia="Arial Narrow" w:hAnsi="Times New Roman" w:cs="Times New Roman"/>
          <w:b/>
          <w:sz w:val="28"/>
          <w:szCs w:val="28"/>
        </w:rPr>
        <w:t>DOCUMENTO I</w:t>
      </w:r>
    </w:p>
    <w:p w:rsidR="00F7419D" w:rsidRPr="00F7419D" w:rsidRDefault="00F7419D" w:rsidP="00F7419D">
      <w:pPr>
        <w:spacing w:after="160" w:line="259" w:lineRule="auto"/>
        <w:jc w:val="center"/>
        <w:rPr>
          <w:rFonts w:ascii="Arial Narrow" w:eastAsia="Arial Narrow" w:hAnsi="Arial Narrow" w:cs="Arial Narrow"/>
          <w:b/>
          <w:sz w:val="24"/>
          <w:szCs w:val="24"/>
          <w:u w:val="single"/>
        </w:rPr>
      </w:pPr>
    </w:p>
    <w:p w:rsidR="00F7419D" w:rsidRPr="00F7419D" w:rsidRDefault="00F7419D" w:rsidP="00F7419D">
      <w:pPr>
        <w:spacing w:after="160" w:line="259" w:lineRule="auto"/>
        <w:jc w:val="center"/>
        <w:rPr>
          <w:rFonts w:ascii="Times New Roman" w:eastAsia="Arial Narrow" w:hAnsi="Times New Roman" w:cs="Times New Roman"/>
          <w:b/>
          <w:sz w:val="28"/>
          <w:szCs w:val="28"/>
          <w:u w:val="single"/>
        </w:rPr>
      </w:pPr>
      <w:r w:rsidRPr="00F7419D">
        <w:rPr>
          <w:rFonts w:ascii="Times New Roman" w:eastAsia="Arial Narrow" w:hAnsi="Times New Roman" w:cs="Times New Roman"/>
          <w:b/>
          <w:sz w:val="28"/>
          <w:szCs w:val="28"/>
          <w:u w:val="single"/>
        </w:rPr>
        <w:t>REGLAS PARA SELECCIONAR CRITERIOS DE ADJUDICACIÓN.</w:t>
      </w:r>
    </w:p>
    <w:p w:rsidR="00F7419D" w:rsidRPr="00F7419D" w:rsidRDefault="00F7419D" w:rsidP="00F7419D">
      <w:pPr>
        <w:spacing w:after="160" w:line="259" w:lineRule="auto"/>
        <w:jc w:val="center"/>
        <w:rPr>
          <w:rFonts w:ascii="Times New Roman" w:eastAsia="Arial Narrow" w:hAnsi="Times New Roman" w:cs="Times New Roman"/>
          <w:b/>
          <w:sz w:val="24"/>
          <w:szCs w:val="24"/>
          <w:u w:val="single"/>
        </w:rPr>
      </w:pPr>
      <w:r w:rsidRPr="00F7419D">
        <w:rPr>
          <w:rFonts w:ascii="Times New Roman" w:eastAsia="Arial Narrow" w:hAnsi="Times New Roman" w:cs="Times New Roman"/>
          <w:b/>
          <w:sz w:val="24"/>
          <w:szCs w:val="24"/>
          <w:u w:val="single"/>
        </w:rPr>
        <w:t xml:space="preserve">MARCO NORMATIVO. LEY 9/2017. </w:t>
      </w:r>
      <w:proofErr w:type="spellStart"/>
      <w:r w:rsidRPr="00F7419D">
        <w:rPr>
          <w:rFonts w:ascii="Times New Roman" w:eastAsia="Arial Narrow" w:hAnsi="Times New Roman" w:cs="Times New Roman"/>
          <w:b/>
          <w:sz w:val="24"/>
          <w:szCs w:val="24"/>
          <w:u w:val="single"/>
        </w:rPr>
        <w:t>ARTS</w:t>
      </w:r>
      <w:proofErr w:type="spellEnd"/>
      <w:r w:rsidRPr="00F7419D">
        <w:rPr>
          <w:rFonts w:ascii="Times New Roman" w:eastAsia="Arial Narrow" w:hAnsi="Times New Roman" w:cs="Times New Roman"/>
          <w:b/>
          <w:sz w:val="24"/>
          <w:szCs w:val="24"/>
          <w:u w:val="single"/>
        </w:rPr>
        <w:t xml:space="preserve"> 145 a 148.</w:t>
      </w:r>
    </w:p>
    <w:p w:rsidR="00F7419D" w:rsidRPr="00F7419D" w:rsidRDefault="00F7419D" w:rsidP="00F7419D">
      <w:pPr>
        <w:spacing w:after="160" w:line="259" w:lineRule="auto"/>
        <w:rPr>
          <w:rFonts w:ascii="Arial Narrow" w:eastAsia="Arial Narrow" w:hAnsi="Arial Narrow" w:cs="Arial Narrow"/>
          <w:b/>
          <w:sz w:val="28"/>
          <w:szCs w:val="28"/>
          <w:u w:val="single"/>
        </w:rPr>
      </w:pPr>
    </w:p>
    <w:p w:rsidR="00F7419D" w:rsidRPr="00F7419D" w:rsidRDefault="00F7419D" w:rsidP="00F7419D">
      <w:pPr>
        <w:spacing w:after="160" w:line="259" w:lineRule="auto"/>
        <w:rPr>
          <w:rFonts w:ascii="Arial Narrow" w:eastAsia="Arial Narrow" w:hAnsi="Arial Narrow" w:cs="Arial Narrow"/>
          <w:b/>
          <w:sz w:val="24"/>
          <w:szCs w:val="24"/>
        </w:rPr>
      </w:pPr>
      <w:r w:rsidRPr="00F7419D">
        <w:rPr>
          <w:rFonts w:ascii="Arial Narrow" w:eastAsia="Arial Narrow" w:hAnsi="Arial Narrow" w:cs="Arial Narrow"/>
          <w:b/>
          <w:sz w:val="24"/>
          <w:szCs w:val="24"/>
          <w:u w:val="single"/>
        </w:rPr>
        <w:t>PRIMERO.</w:t>
      </w:r>
      <w:r w:rsidRPr="00F7419D">
        <w:rPr>
          <w:rFonts w:ascii="Arial Narrow" w:eastAsia="Arial Narrow" w:hAnsi="Arial Narrow" w:cs="Arial Narrow"/>
          <w:b/>
          <w:sz w:val="24"/>
          <w:szCs w:val="24"/>
        </w:rPr>
        <w:t xml:space="preserve"> Los criterios de adjudicación </w:t>
      </w:r>
      <w:proofErr w:type="spellStart"/>
      <w:r w:rsidRPr="00F7419D">
        <w:rPr>
          <w:rFonts w:ascii="Arial Narrow" w:eastAsia="Arial Narrow" w:hAnsi="Arial Narrow" w:cs="Arial Narrow"/>
          <w:b/>
          <w:sz w:val="24"/>
          <w:szCs w:val="24"/>
        </w:rPr>
        <w:t>DEBERAN</w:t>
      </w:r>
      <w:proofErr w:type="spellEnd"/>
      <w:r w:rsidRPr="00F7419D">
        <w:rPr>
          <w:rFonts w:ascii="Arial Narrow" w:eastAsia="Arial Narrow" w:hAnsi="Arial Narrow" w:cs="Arial Narrow"/>
          <w:b/>
          <w:sz w:val="24"/>
          <w:szCs w:val="24"/>
        </w:rPr>
        <w:t xml:space="preserve"> determinarse en los pliegos de cláusulas administrativas particulares (</w:t>
      </w:r>
      <w:proofErr w:type="spellStart"/>
      <w:r w:rsidRPr="00F7419D">
        <w:rPr>
          <w:rFonts w:ascii="Arial Narrow" w:eastAsia="Arial Narrow" w:hAnsi="Arial Narrow" w:cs="Arial Narrow"/>
          <w:b/>
          <w:sz w:val="24"/>
          <w:szCs w:val="24"/>
        </w:rPr>
        <w:t>PCAP</w:t>
      </w:r>
      <w:proofErr w:type="spellEnd"/>
      <w:r w:rsidRPr="00F7419D">
        <w:rPr>
          <w:rFonts w:ascii="Arial Narrow" w:eastAsia="Arial Narrow" w:hAnsi="Arial Narrow" w:cs="Arial Narrow"/>
          <w:b/>
          <w:sz w:val="24"/>
          <w:szCs w:val="24"/>
        </w:rPr>
        <w:t>) o en el documento descriptivo y figurar en el anuncio de licitación. art 145.5 LCSP.</w:t>
      </w:r>
    </w:p>
    <w:p w:rsidR="00F7419D" w:rsidRPr="00F7419D" w:rsidRDefault="00F7419D" w:rsidP="00F7419D">
      <w:pPr>
        <w:spacing w:after="160" w:line="259" w:lineRule="auto"/>
        <w:rPr>
          <w:rFonts w:ascii="Arial Narrow" w:eastAsia="Arial Narrow" w:hAnsi="Arial Narrow" w:cs="Arial Narrow"/>
          <w:b/>
          <w:sz w:val="24"/>
          <w:szCs w:val="24"/>
        </w:rPr>
      </w:pPr>
    </w:p>
    <w:p w:rsidR="00F7419D" w:rsidRPr="00F7419D" w:rsidRDefault="00F7419D" w:rsidP="00F7419D">
      <w:pPr>
        <w:spacing w:after="160" w:line="259" w:lineRule="auto"/>
        <w:rPr>
          <w:rFonts w:ascii="Arial Narrow" w:eastAsia="Arial Narrow" w:hAnsi="Arial Narrow" w:cs="Arial Narrow"/>
          <w:b/>
          <w:sz w:val="24"/>
          <w:szCs w:val="24"/>
        </w:rPr>
      </w:pPr>
      <w:r w:rsidRPr="00F7419D">
        <w:rPr>
          <w:rFonts w:ascii="Arial Narrow" w:eastAsia="Arial Narrow" w:hAnsi="Arial Narrow" w:cs="Times New Roman"/>
          <w:b/>
          <w:sz w:val="24"/>
          <w:szCs w:val="24"/>
          <w:u w:val="single"/>
        </w:rPr>
        <w:t>SEGUNDO</w:t>
      </w:r>
      <w:r w:rsidRPr="00F7419D">
        <w:rPr>
          <w:rFonts w:ascii="Arial Narrow" w:eastAsia="Arial Narrow" w:hAnsi="Arial Narrow" w:cs="Times New Roman"/>
          <w:b/>
          <w:sz w:val="28"/>
          <w:szCs w:val="28"/>
          <w:u w:val="single"/>
        </w:rPr>
        <w:t xml:space="preserve">. </w:t>
      </w:r>
      <w:r w:rsidRPr="00F7419D">
        <w:rPr>
          <w:rFonts w:ascii="Arial Narrow" w:eastAsia="Arial Narrow" w:hAnsi="Arial Narrow" w:cs="Times New Roman"/>
          <w:b/>
          <w:sz w:val="24"/>
          <w:szCs w:val="24"/>
          <w:u w:val="single"/>
        </w:rPr>
        <w:t xml:space="preserve">REGLAS GENERALES DE SELECCIÓN DE CRITERIOS DE </w:t>
      </w:r>
      <w:proofErr w:type="spellStart"/>
      <w:r w:rsidRPr="00F7419D">
        <w:rPr>
          <w:rFonts w:ascii="Arial Narrow" w:eastAsia="Arial Narrow" w:hAnsi="Arial Narrow" w:cs="Times New Roman"/>
          <w:b/>
          <w:sz w:val="24"/>
          <w:szCs w:val="24"/>
          <w:u w:val="single"/>
        </w:rPr>
        <w:t>ADJUDICACION</w:t>
      </w:r>
      <w:proofErr w:type="spellEnd"/>
      <w:r w:rsidRPr="00F7419D">
        <w:rPr>
          <w:rFonts w:ascii="Arial Narrow" w:eastAsia="Arial Narrow" w:hAnsi="Arial Narrow" w:cs="Times New Roman"/>
          <w:b/>
          <w:sz w:val="24"/>
          <w:szCs w:val="24"/>
          <w:u w:val="single"/>
        </w:rPr>
        <w:t>.</w:t>
      </w:r>
    </w:p>
    <w:p w:rsidR="00F7419D" w:rsidRPr="00F7419D" w:rsidRDefault="00F7419D" w:rsidP="00F7419D">
      <w:pPr>
        <w:numPr>
          <w:ilvl w:val="0"/>
          <w:numId w:val="9"/>
        </w:numPr>
        <w:spacing w:after="160" w:line="259" w:lineRule="auto"/>
        <w:jc w:val="left"/>
        <w:rPr>
          <w:rFonts w:ascii="Arial Narrow" w:eastAsia="Arial Narrow" w:hAnsi="Arial Narrow" w:cs="Arial Narrow"/>
          <w:b/>
          <w:sz w:val="24"/>
          <w:szCs w:val="24"/>
        </w:rPr>
      </w:pPr>
      <w:r w:rsidRPr="00F7419D">
        <w:rPr>
          <w:rFonts w:ascii="Arial Narrow" w:eastAsia="Arial Narrow" w:hAnsi="Arial Narrow" w:cs="Arial Narrow"/>
          <w:b/>
          <w:sz w:val="24"/>
          <w:szCs w:val="24"/>
        </w:rPr>
        <w:t>Los criterios de adjudicación deben cumplir los requisitos previstos en el art 145.5 LCSP:</w:t>
      </w:r>
    </w:p>
    <w:p w:rsidR="00F7419D" w:rsidRPr="00F7419D" w:rsidRDefault="00F7419D" w:rsidP="00F7419D">
      <w:pPr>
        <w:spacing w:after="160" w:line="259" w:lineRule="auto"/>
        <w:rPr>
          <w:rFonts w:ascii="Arial Narrow" w:eastAsia="Arial Narrow" w:hAnsi="Arial Narrow" w:cs="Arial Narrow"/>
          <w:sz w:val="24"/>
          <w:szCs w:val="24"/>
        </w:rPr>
      </w:pPr>
      <w:r w:rsidRPr="00F7419D">
        <w:rPr>
          <w:rFonts w:ascii="Arial Narrow" w:eastAsia="Arial Narrow" w:hAnsi="Arial Narrow" w:cs="Arial Narrow"/>
          <w:sz w:val="24"/>
          <w:szCs w:val="24"/>
        </w:rPr>
        <w:t xml:space="preserve">1.En todo caso, deberán estar </w:t>
      </w:r>
      <w:r w:rsidRPr="00F7419D">
        <w:rPr>
          <w:rFonts w:ascii="Arial Narrow" w:eastAsia="Arial Narrow" w:hAnsi="Arial Narrow" w:cs="Arial Narrow"/>
          <w:b/>
          <w:sz w:val="24"/>
          <w:szCs w:val="24"/>
        </w:rPr>
        <w:t>VINCULADOS al OBJETO del contrato,</w:t>
      </w:r>
      <w:r w:rsidRPr="00F7419D">
        <w:rPr>
          <w:rFonts w:ascii="Arial Narrow" w:eastAsia="Arial Narrow" w:hAnsi="Arial Narrow" w:cs="Arial Narrow"/>
          <w:sz w:val="24"/>
          <w:szCs w:val="24"/>
        </w:rPr>
        <w:t xml:space="preserve"> esto es, referidos a las prestaciones que han de realizarse en virtud del contrato, en el sentido que se indica en el art 145.6 LCSP.</w:t>
      </w:r>
    </w:p>
    <w:p w:rsidR="00F7419D" w:rsidRPr="00F7419D" w:rsidRDefault="00F7419D" w:rsidP="00F7419D">
      <w:pPr>
        <w:spacing w:after="160" w:line="259" w:lineRule="auto"/>
        <w:rPr>
          <w:rFonts w:ascii="Arial Narrow" w:eastAsia="Arial Narrow" w:hAnsi="Arial Narrow" w:cs="Arial Narrow"/>
          <w:sz w:val="24"/>
          <w:szCs w:val="24"/>
        </w:rPr>
      </w:pPr>
      <w:r w:rsidRPr="00F7419D">
        <w:rPr>
          <w:rFonts w:ascii="Arial Narrow" w:eastAsia="Arial Narrow" w:hAnsi="Arial Narrow" w:cs="Arial Narrow"/>
          <w:sz w:val="24"/>
          <w:szCs w:val="24"/>
        </w:rPr>
        <w:t xml:space="preserve">2. </w:t>
      </w:r>
      <w:proofErr w:type="spellStart"/>
      <w:r w:rsidRPr="00F7419D">
        <w:rPr>
          <w:rFonts w:ascii="Arial Narrow" w:eastAsia="Arial Narrow" w:hAnsi="Arial Narrow" w:cs="Arial Narrow"/>
          <w:b/>
          <w:sz w:val="24"/>
          <w:szCs w:val="24"/>
        </w:rPr>
        <w:t>DEBERAN</w:t>
      </w:r>
      <w:proofErr w:type="spellEnd"/>
      <w:r w:rsidRPr="00F7419D">
        <w:rPr>
          <w:rFonts w:ascii="Arial Narrow" w:eastAsia="Arial Narrow" w:hAnsi="Arial Narrow" w:cs="Arial Narrow"/>
          <w:b/>
          <w:sz w:val="24"/>
          <w:szCs w:val="24"/>
        </w:rPr>
        <w:t xml:space="preserve"> FORMULARSE de forma OBJETIVA</w:t>
      </w:r>
      <w:r w:rsidRPr="00F7419D">
        <w:rPr>
          <w:rFonts w:ascii="Arial Narrow" w:eastAsia="Arial Narrow" w:hAnsi="Arial Narrow" w:cs="Arial Narrow"/>
          <w:sz w:val="24"/>
          <w:szCs w:val="24"/>
        </w:rPr>
        <w:t>, con pleno respeto a los principios de igualdad, no discriminación, transparencia y proporcionalidad, y no conferirán al órgano de contratación una libertad de decisión ilimitada.</w:t>
      </w:r>
    </w:p>
    <w:p w:rsidR="00F7419D" w:rsidRPr="00F7419D" w:rsidRDefault="00F7419D" w:rsidP="00F7419D">
      <w:pPr>
        <w:spacing w:after="160" w:line="259" w:lineRule="auto"/>
        <w:rPr>
          <w:rFonts w:ascii="Arial Narrow" w:eastAsia="Arial Narrow" w:hAnsi="Arial Narrow" w:cs="Arial Narrow"/>
          <w:sz w:val="24"/>
          <w:szCs w:val="24"/>
        </w:rPr>
      </w:pPr>
      <w:r w:rsidRPr="00F7419D">
        <w:rPr>
          <w:rFonts w:ascii="Arial Narrow" w:eastAsia="Arial Narrow" w:hAnsi="Arial Narrow" w:cs="Arial Narrow"/>
          <w:sz w:val="24"/>
          <w:szCs w:val="24"/>
        </w:rPr>
        <w:t>3</w:t>
      </w:r>
      <w:r w:rsidRPr="00F7419D">
        <w:rPr>
          <w:rFonts w:ascii="Arial Narrow" w:eastAsia="Arial Narrow" w:hAnsi="Arial Narrow" w:cs="Arial Narrow"/>
          <w:b/>
          <w:sz w:val="24"/>
          <w:szCs w:val="24"/>
        </w:rPr>
        <w:t xml:space="preserve">. Deberán garantizar la posibilidad de que las ofertas sean evaluadas en condiciones de competencia efectiva </w:t>
      </w:r>
      <w:r w:rsidRPr="00F7419D">
        <w:rPr>
          <w:rFonts w:ascii="Arial Narrow" w:eastAsia="Arial Narrow" w:hAnsi="Arial Narrow" w:cs="Arial Narrow"/>
          <w:sz w:val="24"/>
          <w:szCs w:val="24"/>
        </w:rPr>
        <w:t xml:space="preserve">e irán acompañados de la </w:t>
      </w:r>
      <w:r w:rsidRPr="00F7419D">
        <w:rPr>
          <w:rFonts w:ascii="Arial Narrow" w:eastAsia="Arial Narrow" w:hAnsi="Arial Narrow" w:cs="Arial Narrow"/>
          <w:b/>
          <w:sz w:val="24"/>
          <w:szCs w:val="24"/>
        </w:rPr>
        <w:t>documentación de especificaciones</w:t>
      </w:r>
      <w:r w:rsidRPr="00F7419D">
        <w:rPr>
          <w:rFonts w:ascii="Arial Narrow" w:eastAsia="Arial Narrow" w:hAnsi="Arial Narrow" w:cs="Arial Narrow"/>
          <w:sz w:val="24"/>
          <w:szCs w:val="24"/>
        </w:rPr>
        <w:t xml:space="preserve"> que permitan comprobar de manera efectiva la información facilitada por los licitadores con el fin de evaluar que las ofertas cumplen los criterios de adjudicación.</w:t>
      </w:r>
    </w:p>
    <w:p w:rsidR="00F7419D" w:rsidRPr="00F7419D" w:rsidRDefault="00F7419D" w:rsidP="00F7419D">
      <w:pPr>
        <w:numPr>
          <w:ilvl w:val="0"/>
          <w:numId w:val="9"/>
        </w:numPr>
        <w:spacing w:after="160" w:line="259" w:lineRule="auto"/>
        <w:jc w:val="left"/>
        <w:rPr>
          <w:rFonts w:ascii="Arial Narrow" w:eastAsia="Arial Narrow" w:hAnsi="Arial Narrow" w:cs="Arial Narrow"/>
          <w:b/>
          <w:sz w:val="24"/>
          <w:szCs w:val="24"/>
        </w:rPr>
      </w:pPr>
      <w:r w:rsidRPr="00F7419D">
        <w:rPr>
          <w:rFonts w:ascii="Arial Narrow" w:eastAsia="Arial Narrow" w:hAnsi="Arial Narrow" w:cs="Arial Narrow"/>
          <w:b/>
          <w:sz w:val="24"/>
          <w:szCs w:val="24"/>
        </w:rPr>
        <w:t xml:space="preserve">La selección de criterios de adjudicación, en base a la MEJOR </w:t>
      </w:r>
      <w:proofErr w:type="spellStart"/>
      <w:r w:rsidRPr="00F7419D">
        <w:rPr>
          <w:rFonts w:ascii="Arial Narrow" w:eastAsia="Arial Narrow" w:hAnsi="Arial Narrow" w:cs="Arial Narrow"/>
          <w:b/>
          <w:sz w:val="24"/>
          <w:szCs w:val="24"/>
        </w:rPr>
        <w:t>RELACION</w:t>
      </w:r>
      <w:proofErr w:type="spellEnd"/>
      <w:r w:rsidRPr="00F7419D">
        <w:rPr>
          <w:rFonts w:ascii="Arial Narrow" w:eastAsia="Arial Narrow" w:hAnsi="Arial Narrow" w:cs="Arial Narrow"/>
          <w:b/>
          <w:sz w:val="24"/>
          <w:szCs w:val="24"/>
        </w:rPr>
        <w:t xml:space="preserve"> CALIDAD- PRECIO, que se evaluará de acuerdo a criterios económicos y cualitativos.</w:t>
      </w:r>
    </w:p>
    <w:p w:rsidR="00F7419D" w:rsidRPr="00F7419D" w:rsidRDefault="00F7419D" w:rsidP="00F7419D">
      <w:pPr>
        <w:spacing w:after="160" w:line="259" w:lineRule="auto"/>
        <w:jc w:val="left"/>
        <w:rPr>
          <w:rFonts w:ascii="Arial Narrow" w:eastAsia="Arial Narrow" w:hAnsi="Arial Narrow" w:cs="Arial Narrow"/>
          <w:b/>
          <w:sz w:val="28"/>
          <w:szCs w:val="28"/>
          <w:u w:val="single"/>
        </w:rPr>
      </w:pPr>
    </w:p>
    <w:p w:rsidR="00F7419D" w:rsidRPr="00F7419D" w:rsidRDefault="00F7419D" w:rsidP="00F7419D">
      <w:pPr>
        <w:spacing w:after="160" w:line="259" w:lineRule="auto"/>
        <w:jc w:val="left"/>
        <w:rPr>
          <w:rFonts w:ascii="Arial Narrow" w:eastAsia="Arial Narrow" w:hAnsi="Arial Narrow" w:cs="Arial Narrow"/>
          <w:b/>
          <w:sz w:val="28"/>
          <w:szCs w:val="28"/>
          <w:u w:val="single"/>
        </w:rPr>
      </w:pPr>
    </w:p>
    <w:p w:rsidR="00F7419D" w:rsidRPr="00F7419D" w:rsidRDefault="00F7419D" w:rsidP="00F7419D">
      <w:pPr>
        <w:spacing w:after="160" w:line="259" w:lineRule="auto"/>
        <w:jc w:val="left"/>
        <w:rPr>
          <w:rFonts w:ascii="Times New Roman" w:eastAsia="Arial Narrow" w:hAnsi="Times New Roman" w:cs="Times New Roman"/>
          <w:b/>
          <w:sz w:val="24"/>
          <w:szCs w:val="24"/>
        </w:rPr>
      </w:pPr>
      <w:r w:rsidRPr="00F7419D">
        <w:rPr>
          <w:rFonts w:ascii="Times New Roman" w:eastAsia="Arial Narrow" w:hAnsi="Times New Roman" w:cs="Times New Roman"/>
          <w:b/>
          <w:sz w:val="24"/>
          <w:szCs w:val="24"/>
          <w:u w:val="single"/>
        </w:rPr>
        <w:t>TERCERO.</w:t>
      </w:r>
      <w:r w:rsidRPr="00F7419D">
        <w:rPr>
          <w:rFonts w:ascii="Times New Roman" w:eastAsia="Arial Narrow" w:hAnsi="Times New Roman" w:cs="Times New Roman"/>
          <w:b/>
          <w:sz w:val="24"/>
          <w:szCs w:val="24"/>
        </w:rPr>
        <w:t xml:space="preserve">  </w:t>
      </w:r>
      <w:r w:rsidRPr="00F7419D">
        <w:rPr>
          <w:rFonts w:ascii="Times New Roman" w:eastAsia="Arial Narrow" w:hAnsi="Times New Roman" w:cs="Times New Roman"/>
          <w:b/>
          <w:sz w:val="24"/>
          <w:szCs w:val="24"/>
          <w:u w:val="single"/>
        </w:rPr>
        <w:t>REGLAS ESPECIFICAS A CONSIDERAR</w:t>
      </w:r>
      <w:r w:rsidRPr="00F7419D">
        <w:rPr>
          <w:rFonts w:ascii="Times New Roman" w:eastAsia="Arial Narrow" w:hAnsi="Times New Roman" w:cs="Times New Roman"/>
          <w:b/>
          <w:sz w:val="24"/>
          <w:szCs w:val="24"/>
        </w:rPr>
        <w:t>:</w:t>
      </w:r>
    </w:p>
    <w:p w:rsidR="00F7419D" w:rsidRPr="00F7419D" w:rsidRDefault="00F7419D" w:rsidP="00F7419D">
      <w:pPr>
        <w:spacing w:after="160" w:line="259" w:lineRule="auto"/>
        <w:rPr>
          <w:rFonts w:ascii="Arial Narrow" w:eastAsia="Arial Narrow" w:hAnsi="Arial Narrow" w:cs="Arial Narrow"/>
          <w:b/>
          <w:sz w:val="24"/>
          <w:szCs w:val="24"/>
        </w:rPr>
      </w:pPr>
      <w:r w:rsidRPr="00F7419D">
        <w:rPr>
          <w:rFonts w:ascii="Arial Narrow" w:eastAsia="Arial Narrow" w:hAnsi="Arial Narrow" w:cs="Arial Narrow"/>
          <w:b/>
          <w:sz w:val="24"/>
          <w:szCs w:val="24"/>
        </w:rPr>
        <w:t xml:space="preserve">1. La selección como criterio de adjudicación de “la </w:t>
      </w:r>
      <w:r w:rsidRPr="00F7419D">
        <w:rPr>
          <w:rFonts w:ascii="Arial Narrow" w:eastAsia="Arial Narrow" w:hAnsi="Arial Narrow" w:cs="Arial Narrow"/>
          <w:b/>
          <w:sz w:val="24"/>
          <w:szCs w:val="24"/>
          <w:u w:val="single"/>
        </w:rPr>
        <w:t>organización</w:t>
      </w:r>
      <w:r w:rsidRPr="00F7419D">
        <w:rPr>
          <w:rFonts w:ascii="Arial Narrow" w:eastAsia="Arial Narrow" w:hAnsi="Arial Narrow" w:cs="Arial Narrow"/>
          <w:b/>
          <w:sz w:val="24"/>
          <w:szCs w:val="24"/>
        </w:rPr>
        <w:t xml:space="preserve">, </w:t>
      </w:r>
      <w:r w:rsidRPr="00F7419D">
        <w:rPr>
          <w:rFonts w:ascii="Arial Narrow" w:eastAsia="Arial Narrow" w:hAnsi="Arial Narrow" w:cs="Arial Narrow"/>
          <w:b/>
          <w:sz w:val="24"/>
          <w:szCs w:val="24"/>
          <w:u w:val="single"/>
        </w:rPr>
        <w:t>cualificación</w:t>
      </w:r>
      <w:r w:rsidRPr="00F7419D">
        <w:rPr>
          <w:rFonts w:ascii="Arial Narrow" w:eastAsia="Arial Narrow" w:hAnsi="Arial Narrow" w:cs="Arial Narrow"/>
          <w:b/>
          <w:sz w:val="24"/>
          <w:szCs w:val="24"/>
        </w:rPr>
        <w:t xml:space="preserve"> y </w:t>
      </w:r>
      <w:r w:rsidRPr="00F7419D">
        <w:rPr>
          <w:rFonts w:ascii="Arial Narrow" w:eastAsia="Arial Narrow" w:hAnsi="Arial Narrow" w:cs="Arial Narrow"/>
          <w:b/>
          <w:sz w:val="24"/>
          <w:szCs w:val="24"/>
          <w:u w:val="single"/>
        </w:rPr>
        <w:t>experiencia</w:t>
      </w:r>
      <w:r w:rsidRPr="00F7419D">
        <w:rPr>
          <w:rFonts w:ascii="Arial Narrow" w:eastAsia="Arial Narrow" w:hAnsi="Arial Narrow" w:cs="Arial Narrow"/>
          <w:b/>
          <w:sz w:val="24"/>
          <w:szCs w:val="24"/>
        </w:rPr>
        <w:t xml:space="preserve"> del personal”</w:t>
      </w:r>
      <w:r w:rsidRPr="00F7419D">
        <w:rPr>
          <w:rFonts w:ascii="Arial Narrow" w:eastAsia="Arial Narrow" w:hAnsi="Arial Narrow" w:cs="Arial Narrow"/>
          <w:sz w:val="24"/>
          <w:szCs w:val="24"/>
        </w:rPr>
        <w:t xml:space="preserve">, </w:t>
      </w:r>
      <w:r w:rsidRPr="00F7419D">
        <w:rPr>
          <w:rFonts w:ascii="Arial Narrow" w:eastAsia="Arial Narrow" w:hAnsi="Arial Narrow" w:cs="Arial Narrow"/>
          <w:b/>
          <w:sz w:val="24"/>
          <w:szCs w:val="24"/>
          <w:u w:val="single"/>
        </w:rPr>
        <w:t>SÓLO</w:t>
      </w:r>
      <w:r w:rsidRPr="00F7419D">
        <w:rPr>
          <w:rFonts w:ascii="Arial Narrow" w:eastAsia="Arial Narrow" w:hAnsi="Arial Narrow" w:cs="Arial Narrow"/>
          <w:sz w:val="24"/>
          <w:szCs w:val="24"/>
        </w:rPr>
        <w:t xml:space="preserve"> es posible respecto del </w:t>
      </w:r>
      <w:r w:rsidRPr="00F7419D">
        <w:rPr>
          <w:rFonts w:ascii="Arial Narrow" w:eastAsia="Arial Narrow" w:hAnsi="Arial Narrow" w:cs="Arial Narrow"/>
          <w:b/>
          <w:sz w:val="24"/>
          <w:szCs w:val="24"/>
        </w:rPr>
        <w:t>PERSONAL QUE SE VAYA A ADSCRIBIR A LA EJECUCIÓN DEL CONTRATO</w:t>
      </w:r>
      <w:r w:rsidRPr="00F7419D">
        <w:rPr>
          <w:rFonts w:ascii="Arial Narrow" w:eastAsia="Arial Narrow" w:hAnsi="Arial Narrow" w:cs="Arial Narrow"/>
          <w:sz w:val="24"/>
          <w:szCs w:val="24"/>
        </w:rPr>
        <w:t xml:space="preserve">, y siempre que la calidad de dicho personal pueda afectar de manera significativa a su mejor ejecución </w:t>
      </w:r>
      <w:proofErr w:type="gramStart"/>
      <w:r w:rsidRPr="00F7419D">
        <w:rPr>
          <w:rFonts w:ascii="Arial Narrow" w:eastAsia="Arial Narrow" w:hAnsi="Arial Narrow" w:cs="Arial Narrow"/>
          <w:b/>
          <w:sz w:val="24"/>
          <w:szCs w:val="24"/>
        </w:rPr>
        <w:t>( art.</w:t>
      </w:r>
      <w:proofErr w:type="gramEnd"/>
      <w:r w:rsidRPr="00F7419D">
        <w:rPr>
          <w:rFonts w:ascii="Arial Narrow" w:eastAsia="Arial Narrow" w:hAnsi="Arial Narrow" w:cs="Arial Narrow"/>
          <w:b/>
          <w:sz w:val="24"/>
          <w:szCs w:val="24"/>
        </w:rPr>
        <w:t xml:space="preserve"> 145.2.2º LCSP)</w:t>
      </w:r>
    </w:p>
    <w:p w:rsidR="00F7419D" w:rsidRPr="00F7419D" w:rsidRDefault="00F7419D" w:rsidP="00F7419D">
      <w:pPr>
        <w:spacing w:after="160" w:line="259" w:lineRule="auto"/>
        <w:rPr>
          <w:rFonts w:ascii="Arial Narrow" w:eastAsia="Arial Narrow" w:hAnsi="Arial Narrow" w:cs="Arial Narrow"/>
          <w:sz w:val="24"/>
          <w:szCs w:val="24"/>
        </w:rPr>
      </w:pPr>
      <w:r w:rsidRPr="00F7419D">
        <w:rPr>
          <w:rFonts w:ascii="Arial Narrow" w:eastAsia="Arial Narrow" w:hAnsi="Arial Narrow" w:cs="Arial Narrow"/>
          <w:sz w:val="24"/>
          <w:szCs w:val="24"/>
        </w:rPr>
        <w:lastRenderedPageBreak/>
        <w:t xml:space="preserve">Por consiguiente, necesariamente el </w:t>
      </w:r>
      <w:r w:rsidRPr="00F7419D">
        <w:rPr>
          <w:rFonts w:ascii="Arial Narrow" w:eastAsia="Arial Narrow" w:hAnsi="Arial Narrow" w:cs="Arial Narrow"/>
          <w:b/>
          <w:sz w:val="24"/>
          <w:szCs w:val="24"/>
        </w:rPr>
        <w:t xml:space="preserve">órgano de contratación habrá de indicar en </w:t>
      </w:r>
      <w:proofErr w:type="spellStart"/>
      <w:r w:rsidRPr="00F7419D">
        <w:rPr>
          <w:rFonts w:ascii="Arial Narrow" w:eastAsia="Arial Narrow" w:hAnsi="Arial Narrow" w:cs="Arial Narrow"/>
          <w:b/>
          <w:sz w:val="24"/>
          <w:szCs w:val="24"/>
        </w:rPr>
        <w:t>PCAP</w:t>
      </w:r>
      <w:proofErr w:type="spellEnd"/>
      <w:r w:rsidRPr="00F7419D">
        <w:rPr>
          <w:rFonts w:ascii="Arial Narrow" w:eastAsia="Arial Narrow" w:hAnsi="Arial Narrow" w:cs="Arial Narrow"/>
          <w:sz w:val="24"/>
          <w:szCs w:val="24"/>
        </w:rPr>
        <w:t>, el personal que ha de adscribirse a la ejecución del contrato. Para ello, es preciso que el servicio de quien dependa el contrato determine con precisión el personal necesario a adscribir, pudiendo relacionarse en el pliego de prescripciones técnicas particulares (</w:t>
      </w:r>
      <w:proofErr w:type="spellStart"/>
      <w:r w:rsidRPr="00F7419D">
        <w:rPr>
          <w:rFonts w:ascii="Arial Narrow" w:eastAsia="Arial Narrow" w:hAnsi="Arial Narrow" w:cs="Arial Narrow"/>
          <w:sz w:val="24"/>
          <w:szCs w:val="24"/>
        </w:rPr>
        <w:t>PPT</w:t>
      </w:r>
      <w:proofErr w:type="spellEnd"/>
      <w:r w:rsidRPr="00F7419D">
        <w:rPr>
          <w:rFonts w:ascii="Arial Narrow" w:eastAsia="Arial Narrow" w:hAnsi="Arial Narrow" w:cs="Arial Narrow"/>
          <w:sz w:val="24"/>
          <w:szCs w:val="24"/>
        </w:rPr>
        <w:t xml:space="preserve">) </w:t>
      </w:r>
    </w:p>
    <w:p w:rsidR="00F7419D" w:rsidRPr="00F7419D" w:rsidRDefault="00F7419D" w:rsidP="00F7419D">
      <w:pPr>
        <w:spacing w:after="160" w:line="259" w:lineRule="auto"/>
        <w:rPr>
          <w:rFonts w:ascii="Arial Narrow" w:eastAsia="Arial Narrow" w:hAnsi="Arial Narrow" w:cs="Arial Narrow"/>
          <w:b/>
          <w:i/>
          <w:sz w:val="24"/>
          <w:szCs w:val="24"/>
        </w:rPr>
      </w:pPr>
      <w:r w:rsidRPr="00F7419D">
        <w:rPr>
          <w:rFonts w:ascii="Arial Narrow" w:eastAsia="Arial Narrow" w:hAnsi="Arial Narrow" w:cs="Arial Narrow"/>
          <w:b/>
          <w:sz w:val="24"/>
          <w:szCs w:val="24"/>
        </w:rPr>
        <w:t xml:space="preserve">2.Para Contratos de servicios cuyo </w:t>
      </w:r>
      <w:proofErr w:type="spellStart"/>
      <w:r w:rsidRPr="00F7419D">
        <w:rPr>
          <w:rFonts w:ascii="Arial Narrow" w:eastAsia="Arial Narrow" w:hAnsi="Arial Narrow" w:cs="Arial Narrow"/>
          <w:b/>
          <w:sz w:val="24"/>
          <w:szCs w:val="24"/>
        </w:rPr>
        <w:t>CPV</w:t>
      </w:r>
      <w:proofErr w:type="spellEnd"/>
      <w:r w:rsidRPr="00F7419D">
        <w:rPr>
          <w:rFonts w:ascii="Arial Narrow" w:eastAsia="Arial Narrow" w:hAnsi="Arial Narrow" w:cs="Arial Narrow"/>
          <w:b/>
          <w:sz w:val="24"/>
          <w:szCs w:val="24"/>
        </w:rPr>
        <w:t xml:space="preserve"> esté incluido en el Anexo IV </w:t>
      </w:r>
      <w:proofErr w:type="gramStart"/>
      <w:r w:rsidRPr="00F7419D">
        <w:rPr>
          <w:rFonts w:ascii="Arial Narrow" w:eastAsia="Arial Narrow" w:hAnsi="Arial Narrow" w:cs="Arial Narrow"/>
          <w:b/>
          <w:sz w:val="24"/>
          <w:szCs w:val="24"/>
        </w:rPr>
        <w:t>LCSP</w:t>
      </w:r>
      <w:proofErr w:type="gramEnd"/>
      <w:r w:rsidRPr="00F7419D">
        <w:rPr>
          <w:rFonts w:ascii="Arial Narrow" w:eastAsia="Arial Narrow" w:hAnsi="Arial Narrow" w:cs="Arial Narrow"/>
          <w:b/>
          <w:sz w:val="24"/>
          <w:szCs w:val="24"/>
        </w:rPr>
        <w:t xml:space="preserve"> así como aquéllas cuyas prestaciones sean de carácter intelectual </w:t>
      </w:r>
      <w:r w:rsidRPr="00F7419D">
        <w:rPr>
          <w:rFonts w:ascii="Arial Narrow" w:eastAsia="Arial Narrow" w:hAnsi="Arial Narrow" w:cs="Arial Narrow"/>
          <w:sz w:val="24"/>
          <w:szCs w:val="24"/>
        </w:rPr>
        <w:t>(</w:t>
      </w:r>
      <w:r w:rsidRPr="00F7419D">
        <w:rPr>
          <w:rFonts w:ascii="Arial Narrow" w:eastAsia="Arial Narrow" w:hAnsi="Arial Narrow" w:cs="Arial Narrow"/>
          <w:color w:val="000000"/>
          <w:highlight w:val="white"/>
        </w:rPr>
        <w:t>como los servicios de ingeniería y arquitectura)</w:t>
      </w:r>
      <w:r w:rsidRPr="00F7419D">
        <w:rPr>
          <w:rFonts w:ascii="Arial Narrow" w:eastAsia="Arial Narrow" w:hAnsi="Arial Narrow" w:cs="Arial Narrow"/>
          <w:sz w:val="24"/>
          <w:szCs w:val="24"/>
        </w:rPr>
        <w:t>, “...</w:t>
      </w:r>
      <w:r w:rsidRPr="00F7419D">
        <w:rPr>
          <w:rFonts w:ascii="Arial Narrow" w:eastAsia="Arial Narrow" w:hAnsi="Arial Narrow" w:cs="Arial Narrow"/>
          <w:i/>
          <w:sz w:val="24"/>
          <w:szCs w:val="24"/>
        </w:rPr>
        <w:t xml:space="preserve"> los criterios relacionados con la calidad deberán representar, al menos, el 51 por ciento de la puntuación asignable en la valoración de las ofertas, sin perjuicio de lo dispuesto en el apartado 2.a) del artículo 146” (</w:t>
      </w:r>
      <w:r w:rsidRPr="00F7419D">
        <w:rPr>
          <w:rFonts w:ascii="Arial Narrow" w:eastAsia="Arial Narrow" w:hAnsi="Arial Narrow" w:cs="Arial Narrow"/>
          <w:b/>
          <w:sz w:val="24"/>
          <w:szCs w:val="24"/>
        </w:rPr>
        <w:t>art. 145.4 de la LCSP).</w:t>
      </w:r>
    </w:p>
    <w:p w:rsidR="00F7419D" w:rsidRPr="00F7419D" w:rsidRDefault="00F7419D" w:rsidP="00F7419D">
      <w:pPr>
        <w:spacing w:after="160" w:line="259" w:lineRule="auto"/>
        <w:rPr>
          <w:rFonts w:ascii="Arial Narrow" w:eastAsia="Arial Narrow" w:hAnsi="Arial Narrow" w:cs="Arial Narrow"/>
          <w:sz w:val="24"/>
          <w:szCs w:val="24"/>
        </w:rPr>
      </w:pPr>
      <w:r w:rsidRPr="00F7419D">
        <w:rPr>
          <w:rFonts w:ascii="Arial Narrow" w:eastAsia="Arial Narrow" w:hAnsi="Arial Narrow" w:cs="Arial Narrow"/>
          <w:b/>
          <w:sz w:val="24"/>
          <w:szCs w:val="24"/>
        </w:rPr>
        <w:t>3.- La selección como criterio de adjudicación de “mejoras</w:t>
      </w:r>
      <w:r w:rsidRPr="00F7419D">
        <w:rPr>
          <w:rFonts w:ascii="Arial Narrow" w:eastAsia="Arial Narrow" w:hAnsi="Arial Narrow" w:cs="Arial Narrow"/>
          <w:i/>
          <w:sz w:val="24"/>
          <w:szCs w:val="24"/>
        </w:rPr>
        <w:t xml:space="preserve">”: </w:t>
      </w:r>
      <w:r w:rsidRPr="00F7419D">
        <w:rPr>
          <w:rFonts w:ascii="Arial Narrow" w:eastAsia="Arial Narrow" w:hAnsi="Arial Narrow" w:cs="Arial Narrow"/>
          <w:b/>
          <w:sz w:val="24"/>
          <w:szCs w:val="24"/>
        </w:rPr>
        <w:t>Las mejoras</w:t>
      </w:r>
      <w:r w:rsidRPr="00F7419D">
        <w:rPr>
          <w:rFonts w:ascii="Arial Narrow" w:eastAsia="Arial Narrow" w:hAnsi="Arial Narrow" w:cs="Arial Narrow"/>
          <w:sz w:val="24"/>
          <w:szCs w:val="24"/>
        </w:rPr>
        <w:t xml:space="preserve"> deberán estar</w:t>
      </w:r>
      <w:r w:rsidRPr="00F7419D">
        <w:rPr>
          <w:rFonts w:ascii="Arial Narrow" w:eastAsia="Arial Narrow" w:hAnsi="Arial Narrow" w:cs="Arial Narrow"/>
          <w:i/>
          <w:sz w:val="24"/>
          <w:szCs w:val="24"/>
        </w:rPr>
        <w:t xml:space="preserve"> </w:t>
      </w:r>
      <w:r w:rsidRPr="00F7419D">
        <w:rPr>
          <w:rFonts w:ascii="Arial Narrow" w:eastAsia="Arial Narrow" w:hAnsi="Arial Narrow" w:cs="Arial Narrow"/>
          <w:b/>
          <w:i/>
          <w:sz w:val="24"/>
          <w:szCs w:val="24"/>
        </w:rPr>
        <w:t>suficientemente especificadas</w:t>
      </w:r>
      <w:r w:rsidRPr="00F7419D">
        <w:rPr>
          <w:rFonts w:ascii="Arial Narrow" w:eastAsia="Arial Narrow" w:hAnsi="Arial Narrow" w:cs="Arial Narrow"/>
          <w:i/>
          <w:sz w:val="24"/>
          <w:szCs w:val="24"/>
        </w:rPr>
        <w:t xml:space="preserve">. Se considerará que se cumple esta exigencia cuando se fijen, de manera ponderada, con concreción: </w:t>
      </w:r>
      <w:r w:rsidRPr="00F7419D">
        <w:rPr>
          <w:rFonts w:ascii="Arial Narrow" w:eastAsia="Arial Narrow" w:hAnsi="Arial Narrow" w:cs="Arial Narrow"/>
          <w:b/>
          <w:i/>
          <w:sz w:val="24"/>
          <w:szCs w:val="24"/>
        </w:rPr>
        <w:t>los requisitos, límites, modalidades y características</w:t>
      </w:r>
      <w:r w:rsidRPr="00F7419D">
        <w:rPr>
          <w:rFonts w:ascii="Arial Narrow" w:eastAsia="Arial Narrow" w:hAnsi="Arial Narrow" w:cs="Arial Narrow"/>
          <w:i/>
          <w:sz w:val="24"/>
          <w:szCs w:val="24"/>
        </w:rPr>
        <w:t xml:space="preserve"> de las mismas, así como su </w:t>
      </w:r>
      <w:r w:rsidRPr="00F7419D">
        <w:rPr>
          <w:rFonts w:ascii="Arial Narrow" w:eastAsia="Arial Narrow" w:hAnsi="Arial Narrow" w:cs="Arial Narrow"/>
          <w:b/>
          <w:i/>
          <w:sz w:val="24"/>
          <w:szCs w:val="24"/>
        </w:rPr>
        <w:t>necesaria vinculación con el objeto</w:t>
      </w:r>
      <w:r w:rsidRPr="00F7419D">
        <w:rPr>
          <w:rFonts w:ascii="Arial Narrow" w:eastAsia="Arial Narrow" w:hAnsi="Arial Narrow" w:cs="Arial Narrow"/>
          <w:i/>
          <w:sz w:val="24"/>
          <w:szCs w:val="24"/>
        </w:rPr>
        <w:t xml:space="preserve"> del contrato.</w:t>
      </w:r>
    </w:p>
    <w:p w:rsidR="00F7419D" w:rsidRPr="00F7419D" w:rsidRDefault="00F7419D" w:rsidP="00F7419D">
      <w:pPr>
        <w:spacing w:after="160" w:line="259" w:lineRule="auto"/>
        <w:rPr>
          <w:rFonts w:ascii="Arial Narrow" w:eastAsia="Arial Narrow" w:hAnsi="Arial Narrow" w:cs="Arial Narrow"/>
          <w:b/>
          <w:i/>
          <w:sz w:val="24"/>
          <w:szCs w:val="24"/>
        </w:rPr>
      </w:pPr>
      <w:r w:rsidRPr="00F7419D">
        <w:rPr>
          <w:rFonts w:ascii="Arial Narrow" w:eastAsia="Arial Narrow" w:hAnsi="Arial Narrow" w:cs="Arial Narrow"/>
          <w:i/>
          <w:sz w:val="24"/>
          <w:szCs w:val="24"/>
        </w:rPr>
        <w:t xml:space="preserve">En todo caso, en los supuestos en que su valoración se efectúe de conformidad con lo establecido en el apartado segundo, letra a) del artículo siguiente, </w:t>
      </w:r>
      <w:r w:rsidRPr="00F7419D">
        <w:rPr>
          <w:rFonts w:ascii="Arial Narrow" w:eastAsia="Arial Narrow" w:hAnsi="Arial Narrow" w:cs="Arial Narrow"/>
          <w:b/>
          <w:i/>
          <w:sz w:val="24"/>
          <w:szCs w:val="24"/>
        </w:rPr>
        <w:t xml:space="preserve">no podrá asignársele una valoración superior al 2,5 por ciento. </w:t>
      </w:r>
      <w:r w:rsidRPr="00F7419D">
        <w:rPr>
          <w:rFonts w:ascii="Arial Narrow" w:eastAsia="Arial Narrow" w:hAnsi="Arial Narrow" w:cs="Arial Narrow"/>
          <w:sz w:val="24"/>
          <w:szCs w:val="24"/>
        </w:rPr>
        <w:t>(es decir, cuando se trate de procedimientos de adjudicación, abierto o restringido, y la ponderación de los criterios cuya cuantificación dependa de un juicio de valor sea superior a la de los criterios cuantificables de forma automática).</w:t>
      </w:r>
    </w:p>
    <w:p w:rsidR="00F7419D" w:rsidRPr="00F7419D" w:rsidRDefault="00F7419D" w:rsidP="00F7419D">
      <w:pPr>
        <w:spacing w:after="160" w:line="259" w:lineRule="auto"/>
        <w:rPr>
          <w:rFonts w:ascii="Arial Narrow" w:eastAsia="Arial Narrow" w:hAnsi="Arial Narrow" w:cs="Arial Narrow"/>
          <w:i/>
          <w:sz w:val="24"/>
          <w:szCs w:val="24"/>
        </w:rPr>
      </w:pPr>
      <w:r w:rsidRPr="00F7419D">
        <w:rPr>
          <w:rFonts w:ascii="Arial Narrow" w:eastAsia="Arial Narrow" w:hAnsi="Arial Narrow" w:cs="Arial Narrow"/>
          <w:i/>
          <w:sz w:val="24"/>
          <w:szCs w:val="24"/>
        </w:rPr>
        <w:t xml:space="preserve">Se entiende por mejoras, a estos efectos, </w:t>
      </w:r>
      <w:r w:rsidRPr="00F7419D">
        <w:rPr>
          <w:rFonts w:ascii="Arial Narrow" w:eastAsia="Arial Narrow" w:hAnsi="Arial Narrow" w:cs="Arial Narrow"/>
          <w:b/>
          <w:i/>
          <w:sz w:val="24"/>
          <w:szCs w:val="24"/>
        </w:rPr>
        <w:t>las prestaciones adicionales a las que figuraban definidas en el proyecto y en el pliego de prescripciones técnicas</w:t>
      </w:r>
      <w:r w:rsidRPr="00F7419D">
        <w:rPr>
          <w:rFonts w:ascii="Arial Narrow" w:eastAsia="Arial Narrow" w:hAnsi="Arial Narrow" w:cs="Arial Narrow"/>
          <w:i/>
          <w:sz w:val="24"/>
          <w:szCs w:val="24"/>
        </w:rPr>
        <w:t>, sin que aquellas puedan alterar la naturaleza de dichas prestaciones, ni del objeto del contrato.</w:t>
      </w:r>
    </w:p>
    <w:p w:rsidR="00F7419D" w:rsidRPr="00F7419D" w:rsidRDefault="00F7419D" w:rsidP="00F7419D">
      <w:pPr>
        <w:spacing w:after="160" w:line="259" w:lineRule="auto"/>
        <w:rPr>
          <w:rFonts w:ascii="Arial Narrow" w:eastAsia="Arial Narrow" w:hAnsi="Arial Narrow" w:cs="Arial Narrow"/>
          <w:b/>
          <w:sz w:val="24"/>
          <w:szCs w:val="24"/>
        </w:rPr>
      </w:pPr>
      <w:r w:rsidRPr="00F7419D">
        <w:rPr>
          <w:rFonts w:ascii="Arial Narrow" w:eastAsia="Arial Narrow" w:hAnsi="Arial Narrow" w:cs="Arial Narrow"/>
          <w:i/>
          <w:sz w:val="24"/>
          <w:szCs w:val="24"/>
        </w:rPr>
        <w:t>Las mejoras propuestas por el adjudicatario pasarán a formar parte del contrato y no podrán ser objeto de modificación</w:t>
      </w:r>
      <w:r w:rsidRPr="00F7419D">
        <w:rPr>
          <w:rFonts w:ascii="Arial Narrow" w:eastAsia="Arial Narrow" w:hAnsi="Arial Narrow" w:cs="Arial Narrow"/>
          <w:sz w:val="24"/>
          <w:szCs w:val="24"/>
        </w:rPr>
        <w:t xml:space="preserve">.” </w:t>
      </w:r>
      <w:r w:rsidRPr="00F7419D">
        <w:rPr>
          <w:rFonts w:ascii="Arial Narrow" w:eastAsia="Arial Narrow" w:hAnsi="Arial Narrow" w:cs="Arial Narrow"/>
          <w:b/>
          <w:sz w:val="24"/>
          <w:szCs w:val="24"/>
        </w:rPr>
        <w:t>(art. 145.7 LCSP)</w:t>
      </w:r>
    </w:p>
    <w:p w:rsidR="00F7419D" w:rsidRPr="00F7419D" w:rsidRDefault="00F7419D" w:rsidP="00F7419D">
      <w:pPr>
        <w:spacing w:after="160" w:line="259" w:lineRule="auto"/>
        <w:rPr>
          <w:rFonts w:ascii="Arial Narrow" w:eastAsia="Arial Narrow" w:hAnsi="Arial Narrow" w:cs="Arial Narrow"/>
          <w:sz w:val="24"/>
          <w:szCs w:val="24"/>
        </w:rPr>
      </w:pPr>
    </w:p>
    <w:p w:rsidR="00F7419D" w:rsidRPr="00F7419D" w:rsidRDefault="00F7419D" w:rsidP="00F7419D">
      <w:pPr>
        <w:spacing w:after="160" w:line="259" w:lineRule="auto"/>
        <w:rPr>
          <w:rFonts w:ascii="Arial Narrow" w:eastAsia="Arial Narrow" w:hAnsi="Arial Narrow" w:cs="Arial Narrow"/>
          <w:b/>
          <w:sz w:val="24"/>
          <w:szCs w:val="24"/>
        </w:rPr>
      </w:pPr>
      <w:r w:rsidRPr="00F7419D">
        <w:rPr>
          <w:rFonts w:ascii="Arial Narrow" w:eastAsia="Arial Narrow" w:hAnsi="Arial Narrow" w:cs="Arial Narrow"/>
          <w:b/>
          <w:sz w:val="24"/>
          <w:szCs w:val="24"/>
        </w:rPr>
        <w:t xml:space="preserve">                                      PALENCIA, A 2</w:t>
      </w:r>
      <w:r>
        <w:rPr>
          <w:rFonts w:ascii="Arial Narrow" w:eastAsia="Arial Narrow" w:hAnsi="Arial Narrow" w:cs="Arial Narrow"/>
          <w:b/>
          <w:sz w:val="24"/>
          <w:szCs w:val="24"/>
        </w:rPr>
        <w:t>5 DE NOVIEMBRE</w:t>
      </w:r>
      <w:r w:rsidRPr="00F7419D">
        <w:rPr>
          <w:rFonts w:ascii="Arial Narrow" w:eastAsia="Arial Narrow" w:hAnsi="Arial Narrow" w:cs="Arial Narrow"/>
          <w:b/>
          <w:sz w:val="24"/>
          <w:szCs w:val="24"/>
        </w:rPr>
        <w:t xml:space="preserve"> DE 2021.</w:t>
      </w:r>
    </w:p>
    <w:p w:rsidR="001F19A4" w:rsidRDefault="001F19A4" w:rsidP="001F19A4">
      <w:pPr>
        <w:spacing w:after="0"/>
        <w:rPr>
          <w:b/>
        </w:rPr>
      </w:pPr>
    </w:p>
    <w:sectPr w:rsidR="001F19A4" w:rsidSect="00F46A35">
      <w:headerReference w:type="default" r:id="rId8"/>
      <w:pgSz w:w="11906" w:h="16838"/>
      <w:pgMar w:top="1985"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55" w:rsidRDefault="00A60CD9">
      <w:pPr>
        <w:spacing w:after="0"/>
      </w:pPr>
      <w:r>
        <w:separator/>
      </w:r>
    </w:p>
  </w:endnote>
  <w:endnote w:type="continuationSeparator" w:id="0">
    <w:p w:rsidR="00DE7F55" w:rsidRDefault="00A60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55" w:rsidRDefault="00A60CD9">
      <w:pPr>
        <w:spacing w:after="0"/>
      </w:pPr>
      <w:r>
        <w:separator/>
      </w:r>
    </w:p>
  </w:footnote>
  <w:footnote w:type="continuationSeparator" w:id="0">
    <w:p w:rsidR="00DE7F55" w:rsidRDefault="00A60C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9924" w:type="dxa"/>
      <w:tblInd w:w="-318" w:type="dxa"/>
      <w:tblLayout w:type="fixed"/>
      <w:tblLook w:val="0000" w:firstRow="0" w:lastRow="0" w:firstColumn="0" w:lastColumn="0" w:noHBand="0" w:noVBand="0"/>
    </w:tblPr>
    <w:tblGrid>
      <w:gridCol w:w="5246"/>
      <w:gridCol w:w="4678"/>
    </w:tblGrid>
    <w:tr w:rsidR="00043E21">
      <w:trPr>
        <w:trHeight w:val="315"/>
      </w:trPr>
      <w:tc>
        <w:tcPr>
          <w:tcW w:w="5246" w:type="dxa"/>
          <w:vMerge w:val="restart"/>
        </w:tcPr>
        <w:p w:rsidR="00043E21" w:rsidRDefault="00A60CD9">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2232660" cy="670560"/>
                <wp:effectExtent l="0" t="0" r="0" b="0"/>
                <wp:docPr id="6" name="image1.jpg" descr="Logo Largo Color"/>
                <wp:cNvGraphicFramePr/>
                <a:graphic xmlns:a="http://schemas.openxmlformats.org/drawingml/2006/main">
                  <a:graphicData uri="http://schemas.openxmlformats.org/drawingml/2006/picture">
                    <pic:pic xmlns:pic="http://schemas.openxmlformats.org/drawingml/2006/picture">
                      <pic:nvPicPr>
                        <pic:cNvPr id="0" name="image1.jpg" descr="Logo Largo Color"/>
                        <pic:cNvPicPr preferRelativeResize="0"/>
                      </pic:nvPicPr>
                      <pic:blipFill>
                        <a:blip r:embed="rId1"/>
                        <a:srcRect/>
                        <a:stretch>
                          <a:fillRect/>
                        </a:stretch>
                      </pic:blipFill>
                      <pic:spPr>
                        <a:xfrm>
                          <a:off x="0" y="0"/>
                          <a:ext cx="2232660" cy="670560"/>
                        </a:xfrm>
                        <a:prstGeom prst="rect">
                          <a:avLst/>
                        </a:prstGeom>
                        <a:ln/>
                      </pic:spPr>
                    </pic:pic>
                  </a:graphicData>
                </a:graphic>
              </wp:inline>
            </w:drawing>
          </w:r>
        </w:p>
      </w:tc>
      <w:tc>
        <w:tcPr>
          <w:tcW w:w="4678" w:type="dxa"/>
          <w:tcBorders>
            <w:top w:val="nil"/>
            <w:left w:val="nil"/>
            <w:bottom w:val="single" w:sz="4" w:space="0" w:color="FFFFFF"/>
            <w:right w:val="nil"/>
          </w:tcBorders>
          <w:vAlign w:val="center"/>
        </w:tcPr>
        <w:p w:rsidR="00043E21" w:rsidRDefault="00043E21">
          <w:pPr>
            <w:pBdr>
              <w:top w:val="nil"/>
              <w:left w:val="nil"/>
              <w:bottom w:val="nil"/>
              <w:right w:val="nil"/>
              <w:between w:val="nil"/>
            </w:pBdr>
            <w:tabs>
              <w:tab w:val="center" w:pos="4252"/>
              <w:tab w:val="right" w:pos="8504"/>
            </w:tabs>
            <w:jc w:val="center"/>
            <w:rPr>
              <w:color w:val="000000"/>
            </w:rPr>
          </w:pPr>
        </w:p>
      </w:tc>
    </w:tr>
    <w:tr w:rsidR="00A60CD9">
      <w:trPr>
        <w:gridAfter w:val="1"/>
        <w:wAfter w:w="4678" w:type="dxa"/>
        <w:trHeight w:val="315"/>
      </w:trPr>
      <w:tc>
        <w:tcPr>
          <w:tcW w:w="5246" w:type="dxa"/>
          <w:vMerge/>
        </w:tcPr>
        <w:p w:rsidR="00A60CD9" w:rsidRDefault="00A60CD9">
          <w:pPr>
            <w:widowControl w:val="0"/>
            <w:pBdr>
              <w:top w:val="nil"/>
              <w:left w:val="nil"/>
              <w:bottom w:val="nil"/>
              <w:right w:val="nil"/>
              <w:between w:val="nil"/>
            </w:pBdr>
            <w:spacing w:after="0" w:line="276" w:lineRule="auto"/>
            <w:jc w:val="left"/>
            <w:rPr>
              <w:color w:val="000000"/>
            </w:rPr>
          </w:pPr>
        </w:p>
      </w:tc>
    </w:tr>
  </w:tbl>
  <w:p w:rsidR="00043E21" w:rsidRPr="00A60CD9" w:rsidRDefault="00A60CD9">
    <w:pPr>
      <w:pBdr>
        <w:top w:val="nil"/>
        <w:left w:val="nil"/>
        <w:bottom w:val="nil"/>
        <w:right w:val="nil"/>
        <w:between w:val="nil"/>
      </w:pBdr>
      <w:tabs>
        <w:tab w:val="center" w:pos="4252"/>
        <w:tab w:val="right" w:pos="8504"/>
      </w:tabs>
      <w:rPr>
        <w:b/>
        <w:color w:val="000000"/>
      </w:rPr>
    </w:pPr>
    <w:r w:rsidRPr="00A60CD9">
      <w:rPr>
        <w:b/>
        <w:color w:val="000000"/>
      </w:rPr>
      <w:t>UNIDAD FUNCIONAL DE CONTRATACION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139"/>
    <w:multiLevelType w:val="hybridMultilevel"/>
    <w:tmpl w:val="1BA88022"/>
    <w:lvl w:ilvl="0" w:tplc="2F1E1C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274943"/>
    <w:multiLevelType w:val="multilevel"/>
    <w:tmpl w:val="92ECEB1A"/>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 w15:restartNumberingAfterBreak="0">
    <w:nsid w:val="2B010F98"/>
    <w:multiLevelType w:val="hybridMultilevel"/>
    <w:tmpl w:val="D04C749C"/>
    <w:lvl w:ilvl="0" w:tplc="24427FA8">
      <w:start w:val="2"/>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40AB2C1E"/>
    <w:multiLevelType w:val="multilevel"/>
    <w:tmpl w:val="4B00C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6C473A"/>
    <w:multiLevelType w:val="multilevel"/>
    <w:tmpl w:val="98D6E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E378F6"/>
    <w:multiLevelType w:val="multilevel"/>
    <w:tmpl w:val="6E4E32AE"/>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6" w15:restartNumberingAfterBreak="0">
    <w:nsid w:val="652F0FBA"/>
    <w:multiLevelType w:val="hybridMultilevel"/>
    <w:tmpl w:val="5B44DADE"/>
    <w:lvl w:ilvl="0" w:tplc="4B7AFCBC">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321BDA"/>
    <w:multiLevelType w:val="multilevel"/>
    <w:tmpl w:val="75085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9D346E"/>
    <w:multiLevelType w:val="multilevel"/>
    <w:tmpl w:val="28603F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21"/>
    <w:rsid w:val="00043E21"/>
    <w:rsid w:val="001F19A4"/>
    <w:rsid w:val="00A60CD9"/>
    <w:rsid w:val="00B57B37"/>
    <w:rsid w:val="00B87418"/>
    <w:rsid w:val="00C50214"/>
    <w:rsid w:val="00DE7F55"/>
    <w:rsid w:val="00F46A35"/>
    <w:rsid w:val="00F74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7C9B8"/>
  <w15:docId w15:val="{4D0A2891-5AAA-4B41-88E7-0A9358B8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FFA"/>
  </w:style>
  <w:style w:type="paragraph" w:styleId="Ttulo1">
    <w:name w:val="heading 1"/>
    <w:basedOn w:val="Normal"/>
    <w:next w:val="Normal"/>
    <w:link w:val="Ttulo1Car"/>
    <w:uiPriority w:val="9"/>
    <w:qFormat/>
    <w:rsid w:val="00A41B65"/>
    <w:pPr>
      <w:keepNext/>
      <w:keepLines/>
      <w:spacing w:before="240"/>
      <w:outlineLvl w:val="0"/>
    </w:pPr>
    <w:rPr>
      <w:rFonts w:eastAsiaTheme="majorEastAsia" w:cstheme="majorBidi"/>
      <w:b/>
      <w:color w:val="365F91" w:themeColor="accent1" w:themeShade="BF"/>
      <w:szCs w:val="32"/>
    </w:rPr>
  </w:style>
  <w:style w:type="paragraph" w:styleId="Ttulo2">
    <w:name w:val="heading 2"/>
    <w:basedOn w:val="Normal"/>
    <w:next w:val="Normal"/>
    <w:link w:val="Ttulo2Car"/>
    <w:uiPriority w:val="9"/>
    <w:semiHidden/>
    <w:unhideWhenUsed/>
    <w:qFormat/>
    <w:rsid w:val="007648AA"/>
    <w:pPr>
      <w:keepNext/>
      <w:keepLines/>
      <w:outlineLvl w:val="1"/>
    </w:pPr>
    <w:rPr>
      <w:rFonts w:eastAsiaTheme="majorEastAsia" w:cstheme="majorBidi"/>
      <w:color w:val="365F91" w:themeColor="accent1" w:themeShade="BF"/>
      <w:szCs w:val="26"/>
    </w:rPr>
  </w:style>
  <w:style w:type="paragraph" w:styleId="Ttulo3">
    <w:name w:val="heading 3"/>
    <w:basedOn w:val="Normal"/>
    <w:next w:val="Normal"/>
    <w:link w:val="Ttulo3Car"/>
    <w:uiPriority w:val="9"/>
    <w:semiHidden/>
    <w:unhideWhenUsed/>
    <w:qFormat/>
    <w:rsid w:val="00B048C1"/>
    <w:pPr>
      <w:keepNext/>
      <w:spacing w:before="240" w:after="60"/>
      <w:jc w:val="left"/>
      <w:outlineLvl w:val="2"/>
    </w:pPr>
    <w:rPr>
      <w:rFonts w:ascii="Times New Roman" w:hAnsi="Times New Roman"/>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Encabezado">
    <w:name w:val="header"/>
    <w:basedOn w:val="Normal"/>
    <w:link w:val="EncabezadoCar"/>
    <w:unhideWhenUsed/>
    <w:rsid w:val="009801E8"/>
    <w:pPr>
      <w:tabs>
        <w:tab w:val="center" w:pos="4252"/>
        <w:tab w:val="right" w:pos="8504"/>
      </w:tabs>
    </w:pPr>
  </w:style>
  <w:style w:type="character" w:customStyle="1" w:styleId="EncabezadoCar">
    <w:name w:val="Encabezado Car"/>
    <w:basedOn w:val="Fuentedeprrafopredeter"/>
    <w:link w:val="Encabezado"/>
    <w:rsid w:val="009801E8"/>
  </w:style>
  <w:style w:type="paragraph" w:styleId="Piedepgina">
    <w:name w:val="footer"/>
    <w:basedOn w:val="Normal"/>
    <w:link w:val="PiedepginaCar"/>
    <w:uiPriority w:val="99"/>
    <w:unhideWhenUsed/>
    <w:rsid w:val="009801E8"/>
    <w:pPr>
      <w:tabs>
        <w:tab w:val="center" w:pos="4252"/>
        <w:tab w:val="right" w:pos="8504"/>
      </w:tabs>
    </w:pPr>
  </w:style>
  <w:style w:type="character" w:customStyle="1" w:styleId="PiedepginaCar">
    <w:name w:val="Pie de página Car"/>
    <w:basedOn w:val="Fuentedeprrafopredeter"/>
    <w:link w:val="Piedepgina"/>
    <w:uiPriority w:val="99"/>
    <w:rsid w:val="009801E8"/>
  </w:style>
  <w:style w:type="paragraph" w:styleId="Prrafodelista">
    <w:name w:val="List Paragraph"/>
    <w:basedOn w:val="Normal"/>
    <w:uiPriority w:val="34"/>
    <w:qFormat/>
    <w:rsid w:val="007A0422"/>
    <w:pPr>
      <w:ind w:left="680"/>
      <w:contextualSpacing/>
    </w:pPr>
    <w:rPr>
      <w:rFonts w:eastAsiaTheme="minorEastAsia"/>
      <w:lang w:bidi="en-US"/>
    </w:rPr>
  </w:style>
  <w:style w:type="paragraph" w:styleId="Textodeglobo">
    <w:name w:val="Balloon Text"/>
    <w:basedOn w:val="Normal"/>
    <w:link w:val="TextodegloboCar"/>
    <w:uiPriority w:val="99"/>
    <w:semiHidden/>
    <w:unhideWhenUsed/>
    <w:rsid w:val="00205C04"/>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C04"/>
    <w:rPr>
      <w:rFonts w:ascii="Tahoma" w:hAnsi="Tahoma" w:cs="Tahoma"/>
      <w:sz w:val="16"/>
      <w:szCs w:val="16"/>
    </w:rPr>
  </w:style>
  <w:style w:type="character" w:styleId="Hipervnculo">
    <w:name w:val="Hyperlink"/>
    <w:rsid w:val="00492CE0"/>
    <w:rPr>
      <w:color w:val="0000FF"/>
      <w:u w:val="single"/>
    </w:rPr>
  </w:style>
  <w:style w:type="character" w:styleId="Refdenotaalpie">
    <w:name w:val="footnote reference"/>
    <w:uiPriority w:val="99"/>
    <w:semiHidden/>
    <w:rsid w:val="00492CE0"/>
    <w:rPr>
      <w:position w:val="6"/>
      <w:sz w:val="16"/>
    </w:rPr>
  </w:style>
  <w:style w:type="paragraph" w:styleId="Textonotapie">
    <w:name w:val="footnote text"/>
    <w:basedOn w:val="Normal"/>
    <w:link w:val="TextonotapieCar"/>
    <w:uiPriority w:val="99"/>
    <w:unhideWhenUsed/>
    <w:rsid w:val="00492CE0"/>
    <w:rPr>
      <w:rFonts w:ascii="Calibri" w:eastAsia="Calibri" w:hAnsi="Calibri"/>
      <w:sz w:val="20"/>
    </w:rPr>
  </w:style>
  <w:style w:type="character" w:customStyle="1" w:styleId="TextonotapieCar">
    <w:name w:val="Texto nota pie Car"/>
    <w:basedOn w:val="Fuentedeprrafopredeter"/>
    <w:link w:val="Textonotapie"/>
    <w:uiPriority w:val="99"/>
    <w:rsid w:val="00492CE0"/>
    <w:rPr>
      <w:rFonts w:ascii="Calibri" w:eastAsia="Calibri" w:hAnsi="Calibri" w:cs="Times New Roman"/>
      <w:sz w:val="20"/>
      <w:szCs w:val="20"/>
    </w:rPr>
  </w:style>
  <w:style w:type="character" w:customStyle="1" w:styleId="Ttulo3Car">
    <w:name w:val="Título 3 Car"/>
    <w:basedOn w:val="Fuentedeprrafopredeter"/>
    <w:link w:val="Ttulo3"/>
    <w:rsid w:val="00B048C1"/>
    <w:rPr>
      <w:rFonts w:ascii="Times New Roman" w:eastAsia="Times New Roman" w:hAnsi="Times New Roman" w:cs="Times New Roman"/>
      <w:sz w:val="24"/>
      <w:szCs w:val="24"/>
      <w:lang w:eastAsia="es-ES"/>
    </w:rPr>
  </w:style>
  <w:style w:type="paragraph" w:customStyle="1" w:styleId="Estndar">
    <w:name w:val="Estándar"/>
    <w:rsid w:val="00B048C1"/>
    <w:pPr>
      <w:autoSpaceDE w:val="0"/>
      <w:autoSpaceDN w:val="0"/>
      <w:adjustRightInd w:val="0"/>
    </w:pPr>
    <w:rPr>
      <w:rFonts w:ascii="Times New Roman" w:eastAsia="Times New Roman" w:hAnsi="Times New Roman"/>
      <w:color w:val="000000"/>
      <w:sz w:val="24"/>
      <w:szCs w:val="24"/>
    </w:rPr>
  </w:style>
  <w:style w:type="table" w:styleId="Tablaconcuadrcula">
    <w:name w:val="Table Grid"/>
    <w:basedOn w:val="Tablanormal"/>
    <w:rsid w:val="00B048C1"/>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048C1"/>
    <w:pPr>
      <w:ind w:left="283"/>
      <w:contextualSpacing/>
      <w:jc w:val="left"/>
    </w:pPr>
    <w:rPr>
      <w:rFonts w:ascii="Times New Roman" w:hAnsi="Times New Roman"/>
      <w:sz w:val="20"/>
      <w:lang w:val="es-ES_tradnl"/>
    </w:rPr>
  </w:style>
  <w:style w:type="paragraph" w:styleId="Textoindependiente">
    <w:name w:val="Body Text"/>
    <w:basedOn w:val="Normal"/>
    <w:link w:val="TextoindependienteCar"/>
    <w:uiPriority w:val="99"/>
    <w:semiHidden/>
    <w:unhideWhenUsed/>
    <w:rsid w:val="00B048C1"/>
  </w:style>
  <w:style w:type="character" w:customStyle="1" w:styleId="TextoindependienteCar">
    <w:name w:val="Texto independiente Car"/>
    <w:basedOn w:val="Fuentedeprrafopredeter"/>
    <w:link w:val="Textoindependiente"/>
    <w:uiPriority w:val="99"/>
    <w:semiHidden/>
    <w:rsid w:val="00B048C1"/>
    <w:rPr>
      <w:rFonts w:ascii="Arial" w:eastAsia="Times New Roman" w:hAnsi="Arial" w:cs="Times New Roman"/>
      <w:sz w:val="24"/>
      <w:szCs w:val="20"/>
      <w:lang w:eastAsia="es-ES"/>
    </w:rPr>
  </w:style>
  <w:style w:type="paragraph" w:styleId="Textoindependienteprimerasangra">
    <w:name w:val="Body Text First Indent"/>
    <w:basedOn w:val="Textoindependiente"/>
    <w:link w:val="TextoindependienteprimerasangraCar"/>
    <w:rsid w:val="00B048C1"/>
    <w:pPr>
      <w:spacing w:after="0"/>
      <w:ind w:firstLine="360"/>
      <w:jc w:val="left"/>
    </w:pPr>
    <w:rPr>
      <w:rFonts w:ascii="Times New Roman" w:hAnsi="Times New Roman"/>
      <w:sz w:val="20"/>
      <w:lang w:val="es-ES_tradnl"/>
    </w:rPr>
  </w:style>
  <w:style w:type="character" w:customStyle="1" w:styleId="TextoindependienteprimerasangraCar">
    <w:name w:val="Texto independiente primera sangría Car"/>
    <w:basedOn w:val="TextoindependienteCar"/>
    <w:link w:val="Textoindependienteprimerasangra"/>
    <w:rsid w:val="00B048C1"/>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B048C1"/>
    <w:pPr>
      <w:jc w:val="center"/>
    </w:pPr>
    <w:rPr>
      <w:rFonts w:ascii="Times New Roman" w:hAnsi="Times New Roman"/>
      <w:b/>
      <w:u w:val="single"/>
      <w:lang w:val="es-ES_tradnl"/>
    </w:rPr>
  </w:style>
  <w:style w:type="character" w:customStyle="1" w:styleId="Textoindependiente3Car">
    <w:name w:val="Texto independiente 3 Car"/>
    <w:basedOn w:val="Fuentedeprrafopredeter"/>
    <w:link w:val="Textoindependiente3"/>
    <w:rsid w:val="00B048C1"/>
    <w:rPr>
      <w:rFonts w:ascii="Times New Roman" w:eastAsia="Times New Roman" w:hAnsi="Times New Roman" w:cs="Times New Roman"/>
      <w:b/>
      <w:sz w:val="24"/>
      <w:szCs w:val="20"/>
      <w:u w:val="single"/>
      <w:lang w:val="es-ES_tradnl" w:eastAsia="es-ES"/>
    </w:rPr>
  </w:style>
  <w:style w:type="character" w:customStyle="1" w:styleId="Ttulo1Car">
    <w:name w:val="Título 1 Car"/>
    <w:basedOn w:val="Fuentedeprrafopredeter"/>
    <w:link w:val="Ttulo1"/>
    <w:uiPriority w:val="9"/>
    <w:rsid w:val="00A41B65"/>
    <w:rPr>
      <w:rFonts w:eastAsiaTheme="majorEastAsia" w:cstheme="majorBidi"/>
      <w:b/>
      <w:color w:val="365F91" w:themeColor="accent1" w:themeShade="BF"/>
      <w:szCs w:val="32"/>
    </w:rPr>
  </w:style>
  <w:style w:type="character" w:customStyle="1" w:styleId="Ttulo2Car">
    <w:name w:val="Título 2 Car"/>
    <w:basedOn w:val="Fuentedeprrafopredeter"/>
    <w:link w:val="Ttulo2"/>
    <w:uiPriority w:val="9"/>
    <w:rsid w:val="007648AA"/>
    <w:rPr>
      <w:rFonts w:ascii="Arial" w:eastAsiaTheme="majorEastAsia" w:hAnsi="Arial" w:cstheme="majorBidi"/>
      <w:color w:val="365F91" w:themeColor="accent1" w:themeShade="BF"/>
      <w:szCs w:val="26"/>
      <w:lang w:eastAsia="es-ES"/>
    </w:rPr>
  </w:style>
  <w:style w:type="character" w:styleId="Hipervnculovisitado">
    <w:name w:val="FollowedHyperlink"/>
    <w:basedOn w:val="Fuentedeprrafopredeter"/>
    <w:uiPriority w:val="99"/>
    <w:semiHidden/>
    <w:unhideWhenUsed/>
    <w:rsid w:val="00B417EB"/>
    <w:rPr>
      <w:color w:val="800080" w:themeColor="followedHyperlink"/>
      <w:u w:val="single"/>
    </w:rPr>
  </w:style>
  <w:style w:type="table" w:customStyle="1" w:styleId="Tablaconcuadrcula1">
    <w:name w:val="Tabla con cuadrícula1"/>
    <w:basedOn w:val="Tablanormal"/>
    <w:next w:val="Tablaconcuadrcula"/>
    <w:rsid w:val="00B42070"/>
    <w:rPr>
      <w:rFonts w:ascii="Times New Roman" w:eastAsia="Times New Roman" w:hAnsi="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JW24w5XcV3U0Sns3E6ItE13tw==">AMUW2mW3wJFFSUM60fTl1FO6jTtcGto9DqYHs6QI6ppiKdkizxRdZWv7bHX19A6iZ1sGiHVMkggB45rrfjB5fG96lQnVkENWeu3Og6E3vKdo3h5R0yHSbfhbacxlkc7ZLY7GYWHWnaru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3330</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v_delrio</dc:creator>
  <cp:lastModifiedBy>Isaac Gallardo Tarrero</cp:lastModifiedBy>
  <cp:revision>2</cp:revision>
  <dcterms:created xsi:type="dcterms:W3CDTF">2021-11-23T10:32:00Z</dcterms:created>
  <dcterms:modified xsi:type="dcterms:W3CDTF">2021-11-23T10:32:00Z</dcterms:modified>
</cp:coreProperties>
</file>