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B9" w:rsidRPr="00AD0BB9" w:rsidRDefault="00AD0BB9" w:rsidP="00AD0BB9">
      <w:pPr>
        <w:spacing w:after="160" w:line="259" w:lineRule="auto"/>
        <w:jc w:val="left"/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en-US"/>
        </w:rPr>
      </w:pPr>
    </w:p>
    <w:p w:rsidR="00AD0BB9" w:rsidRPr="00AD0BB9" w:rsidRDefault="00AD0BB9" w:rsidP="00AD0BB9">
      <w:pPr>
        <w:spacing w:after="160" w:line="259" w:lineRule="auto"/>
        <w:jc w:val="left"/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en-US"/>
        </w:rPr>
        <w:t>PLIEGOS DE CLAUSULAS ADMINISTRATIVAS PARTICULARES (</w:t>
      </w:r>
      <w:proofErr w:type="spellStart"/>
      <w:r w:rsidRPr="00AD0BB9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en-US"/>
        </w:rPr>
        <w:t>PCAP</w:t>
      </w:r>
      <w:proofErr w:type="spellEnd"/>
      <w:r w:rsidRPr="00AD0BB9">
        <w:rPr>
          <w:rFonts w:ascii="Times New Roman" w:eastAsia="Arial Narrow" w:hAnsi="Times New Roman" w:cs="Times New Roman"/>
          <w:b/>
          <w:sz w:val="24"/>
          <w:szCs w:val="24"/>
          <w:u w:val="single"/>
          <w:lang w:eastAsia="en-US"/>
        </w:rPr>
        <w:t xml:space="preserve">).                                               </w:t>
      </w:r>
    </w:p>
    <w:p w:rsidR="00AD0BB9" w:rsidRPr="00AD0BB9" w:rsidRDefault="00AD0BB9" w:rsidP="00AD0BB9">
      <w:pPr>
        <w:spacing w:after="160" w:line="259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</w:pPr>
      <w:r w:rsidRPr="00AD0BB9">
        <w:rPr>
          <w:rFonts w:ascii="Arial Narrow" w:eastAsia="Arial Narrow" w:hAnsi="Arial Narrow" w:cs="Arial Narrow"/>
          <w:b/>
          <w:sz w:val="24"/>
          <w:szCs w:val="24"/>
          <w:lang w:eastAsia="en-US"/>
        </w:rPr>
        <w:t xml:space="preserve">    </w:t>
      </w:r>
    </w:p>
    <w:p w:rsidR="00AD0BB9" w:rsidRPr="00AD0BB9" w:rsidRDefault="00AD0BB9" w:rsidP="00AD0BB9">
      <w:pPr>
        <w:spacing w:after="160" w:line="259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AD0BB9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en-US"/>
        </w:rPr>
        <w:t>REGLAS PARA SELECCIÓN DE LAS SOLVENCIAS EXIGIBLES A LOS LICITADORES.</w:t>
      </w:r>
      <w:r w:rsidRPr="00AD0BB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</w:p>
    <w:p w:rsidR="00AD0BB9" w:rsidRPr="00AD0BB9" w:rsidRDefault="00AD0BB9" w:rsidP="00AD0BB9">
      <w:pPr>
        <w:spacing w:after="160" w:line="259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MARCO NORMATIVO.  Ley 9/2017. ARTS.86 A 95.</w:t>
      </w:r>
    </w:p>
    <w:p w:rsidR="00AD0BB9" w:rsidRPr="00AD0BB9" w:rsidRDefault="00AD0BB9" w:rsidP="00AD0BB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Corresponde al órgano de contratación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determinar el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medio o medios de acreditación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solvencia, económico y financiera y técnica o profesional, en función del objeto del contrato. </w:t>
      </w:r>
    </w:p>
    <w:p w:rsidR="00AD0BB9" w:rsidRPr="00AD0BB9" w:rsidRDefault="00AD0BB9" w:rsidP="00AD0BB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Además, el órgano de contratación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deberá 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establecer los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requisitos mínimos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las solvencias exigibles,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así como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los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medios admitidos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para su acreditación.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Art.92 LCSP.</w:t>
      </w:r>
    </w:p>
    <w:p w:rsidR="00AD0BB9" w:rsidRPr="00AD0BB9" w:rsidRDefault="00AD0BB9" w:rsidP="00AD0BB9">
      <w:pPr>
        <w:spacing w:after="160" w:line="259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D0BB9" w:rsidRPr="00AD0BB9" w:rsidRDefault="00AD0BB9" w:rsidP="00AD0BB9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SOLVENCIA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ECONOMICA</w:t>
      </w:r>
      <w:proofErr w:type="spellEnd"/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Y FINANCIERA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 87 LCSP)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D0BB9" w:rsidRPr="00AD0BB9" w:rsidRDefault="00AD0BB9" w:rsidP="00AD0BB9">
      <w:pPr>
        <w:numPr>
          <w:ilvl w:val="0"/>
          <w:numId w:val="10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MEDIOS DE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ACREDITACION</w:t>
      </w:r>
      <w:proofErr w:type="spellEnd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Cualquiera de los determinados en el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artículo 87 LCSP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 órgano de contratación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debe elegir uno o varios medios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para su acreditación, atendiendo a las características del objeto de cada contrato. 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Los medios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que se utilizan más habitualmente y los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criterios mínimos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solvencia son los siguientes: 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Art.87.1 a) LCSP</w:t>
      </w:r>
      <w:r w:rsidRPr="00AD0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VOLUMEN ANUAL DE NEGOCIOS</w:t>
      </w:r>
      <w:r w:rsidRPr="00AD0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referido al mejor ejercicio dentro de los tres últimos disponibles, por un importe igual o superior al exigido por el órgano de contratación.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 requisito mínimo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este medio de solvencia, requiere, con carácter general, que el volumen de negocios mínimo anual exigido,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no exceda de una vez y media el valor estimado del contrato.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Dicho requisito mínimo se determina en función de la duración del contrato: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 se trata de un contrato con un plazo de duración (incluidas prórrogas)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igual o inferior a 12 meses. 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 atiende al límite de una vez y media del </w:t>
      </w:r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valor estimado del contrato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determinado dicho valor conforme dispone el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art.101 LCSP.</w:t>
      </w:r>
    </w:p>
    <w:p w:rsidR="00AD0BB9" w:rsidRPr="00AD0BB9" w:rsidRDefault="00AD0BB9" w:rsidP="00AD0BB9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12"/>
          <w:szCs w:val="12"/>
          <w:u w:val="single"/>
          <w:lang w:eastAsia="en-US"/>
        </w:rPr>
      </w:pPr>
    </w:p>
    <w:p w:rsidR="00AD0BB9" w:rsidRPr="00AD0BB9" w:rsidRDefault="00AD0BB9" w:rsidP="00AD0BB9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 se trata de un contrato con plazo de duración (incluidas prórrogas)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superior a 12 meses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Se atiende al límite de una vez y media del </w:t>
      </w:r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valor anual medio, 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que se obtiene multiplicando el valor estimado del contrato por 12 y dividiendo el resultado entre el número total de meses de duración del contrato (incluyendo las prórrogas).</w:t>
      </w:r>
    </w:p>
    <w:p w:rsidR="00AD0BB9" w:rsidRPr="00AD0BB9" w:rsidRDefault="00AD0BB9" w:rsidP="00AD0BB9">
      <w:pPr>
        <w:spacing w:after="160" w:line="259" w:lineRule="auto"/>
        <w:ind w:left="72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numPr>
          <w:ilvl w:val="0"/>
          <w:numId w:val="12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Si el contrato está dividido en lotes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el presente medio de acreditación de solvencia, se aplicará en relación con cada uno de los lotes y no en referencia al valor estimado o al valor anual medio del conjunto de los lotes del contrato.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jc w:val="left"/>
        <w:rPr>
          <w:rFonts w:ascii="Times New Roman" w:eastAsia="Calibri" w:hAnsi="Times New Roman" w:cs="Times New Roman"/>
          <w:b/>
          <w:sz w:val="12"/>
          <w:szCs w:val="12"/>
          <w:u w:val="single"/>
          <w:lang w:eastAsia="en-US"/>
        </w:rPr>
      </w:pPr>
    </w:p>
    <w:p w:rsidR="00AD0BB9" w:rsidRPr="00AD0BB9" w:rsidRDefault="00AD0BB9" w:rsidP="00AD0BB9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Art.87.1</w:t>
      </w:r>
      <w:proofErr w:type="gram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b)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LCSP</w:t>
      </w:r>
      <w:r w:rsidRPr="00AD0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EXISTENCIA</w:t>
      </w:r>
      <w:proofErr w:type="spellEnd"/>
      <w:proofErr w:type="gramEnd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DE UN SEGURO DE RESPONSABILIDAD CIVIL POR RIESGOS PROFESIONALES</w:t>
      </w:r>
      <w:r w:rsidRPr="00AD0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Este medio se utilizará cuando resulte apropiado en relación con el objeto del contrato, tales como en servicios de </w:t>
      </w:r>
      <w:r w:rsidRPr="00AD0BB9">
        <w:rPr>
          <w:rFonts w:ascii="Times New Roman" w:eastAsia="Calibri" w:hAnsi="Times New Roman" w:cs="Times New Roman"/>
          <w:b/>
          <w:lang w:eastAsia="en-US"/>
        </w:rPr>
        <w:t>ingeniería,</w:t>
      </w:r>
      <w:r w:rsidRPr="00AD0BB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consultoría y arquitectura.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Para establecer el requisito mínimo, hay que tener en cuenta el alcance del objeto del contrato.</w:t>
      </w:r>
    </w:p>
    <w:p w:rsidR="00AD0BB9" w:rsidRPr="00AD0BB9" w:rsidRDefault="00AD0BB9" w:rsidP="00AD0BB9">
      <w:pPr>
        <w:spacing w:after="160" w:line="259" w:lineRule="auto"/>
        <w:ind w:left="72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12"/>
          <w:szCs w:val="12"/>
          <w:u w:val="single"/>
          <w:lang w:eastAsia="en-US"/>
        </w:rPr>
      </w:pPr>
    </w:p>
    <w:p w:rsidR="00AD0BB9" w:rsidRPr="00AD0BB9" w:rsidRDefault="00AD0BB9" w:rsidP="00AD0BB9">
      <w:pPr>
        <w:numPr>
          <w:ilvl w:val="0"/>
          <w:numId w:val="10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FORMAS DE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ACREDITACION</w:t>
      </w:r>
      <w:proofErr w:type="spellEnd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salvo en caso de disponer de clasificación empresarial.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 86.2 LCSP. “</w:t>
      </w:r>
      <w:r w:rsidRPr="00AD0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La clasificación del empresario acreditará su solvencia para la celebración de contratos del mismo tipo e importe de aquellos para los que se haya obtenido y para cuya celebración no se exija estar en posesión de la misma.”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Volumen anual de negocios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E0"/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Podrá acreditarse alternativamente mediante: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D0BB9" w:rsidRPr="00AD0BB9" w:rsidRDefault="00AD0BB9" w:rsidP="00AD0BB9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Declaración del empresario indicando el volumen de negocios global de la empresa correspondiente al mejor ejercicio de los últimos tres disponibles.</w:t>
      </w:r>
    </w:p>
    <w:p w:rsidR="00AD0BB9" w:rsidRPr="00AD0BB9" w:rsidRDefault="00AD0BB9" w:rsidP="00AD0BB9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Certificado de la agencia tributaria del importe neto de la cifra de negocios a efectos del </w:t>
      </w:r>
      <w:proofErr w:type="spellStart"/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IAE</w:t>
      </w:r>
      <w:proofErr w:type="spellEnd"/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0BB9" w:rsidRPr="00AD0BB9" w:rsidRDefault="00AD0BB9" w:rsidP="00AD0BB9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D0BB9" w:rsidRPr="00AD0BB9" w:rsidRDefault="00AD0BB9" w:rsidP="00AD0BB9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Seguro de responsabilidad civil por riesgos profesionales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E0"/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Póliza vigente de seguro, junto con justificante acreditativo de haber realizado el pago de la misma.</w:t>
      </w:r>
    </w:p>
    <w:p w:rsidR="00AD0BB9" w:rsidRPr="00AD0BB9" w:rsidRDefault="00AD0BB9" w:rsidP="00AD0BB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D0BB9" w:rsidRPr="00AD0BB9" w:rsidRDefault="00AD0BB9" w:rsidP="00AD0BB9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SOLVENCIA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TECNICA</w:t>
      </w:r>
      <w:proofErr w:type="spellEnd"/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O PROFESIONAL.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 88 LCSP: CONTRATO DE OBRAS.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Art. 89 LCSP. CONTRATO DE SUMINISTROS.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Art. 90 LCSP. CONTRATO DE SERVICIOS.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D0BB9" w:rsidRPr="00AD0BB9" w:rsidRDefault="00AD0BB9" w:rsidP="00AD0BB9">
      <w:pPr>
        <w:numPr>
          <w:ilvl w:val="0"/>
          <w:numId w:val="10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MEDIOS DE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ACREDITACION</w:t>
      </w:r>
      <w:proofErr w:type="spellEnd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Los medios de acreditación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varían en función del tipo de contrato, 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estando recogidos en los preceptos indicados anteriormente. 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 órgano de contratación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debe elegir uno o varios medios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para su acreditación, atendiendo al tipo y a las características del objeto de cada contrato. 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lastRenderedPageBreak/>
        <w:t>Con independencia del tipo de contrato</w:t>
      </w:r>
      <w:r w:rsidRPr="00AD0BB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y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siempre que se trate de </w:t>
      </w:r>
      <w:r w:rsidRPr="00AD0BB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contratos NO sujetos a regulación armonizada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, ha de establecerse un medio para acreditar la solvencia para todas las empresas (normalmente la experiencia) y otro diferente a la experiencia, para las empresas de nueva creación (aquellas que tienen una antigüedad inferior a cinco años):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EXPERIENCIA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Haber realizado obras, suministros, servicios o trabajos de igual o similar naturaleza que los que constituyen el objeto del contrato, en el curso de, como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máximo los tres últimos años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por un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importe anual acumulado (IVA excluido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), en el año de mayor ejecución, igual o superior al límite económico que en cada caso se establezca.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Este límite económico ha de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determinarse por el órgano administrativo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servicio gestor de quien dependa el contrato de que se trate.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 criterio más habitual para establecer este límite es atender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al 60% del valor estimado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contrato (si la duración del contrato es igual o inferior 12 meses) o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del valor anual medio del contrato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(si la duración del contrato es superior a 12 meses).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Si no se estableciera límite alguno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ha de atenderse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al 70% del valor estimado o del valor anual medio del contrato, en función de que su duración sea igual o inferior a 12 meses o superior a dicho periodo respectivamente.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D0BB9" w:rsidRPr="00AD0BB9" w:rsidRDefault="00AD0BB9" w:rsidP="00AD0BB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EMPRESAS DE NUEVA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CREACION</w:t>
      </w:r>
      <w:proofErr w:type="spellEnd"/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 acreditará por uno o varios medios, de entre los previstos en la ley, para cada tipo de contrato, diferente a la experiencia, en función del objeto del contrato.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Será preciso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determinar siempre un mínimo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solvencia requerida. (v.g</w:t>
      </w:r>
      <w:bookmarkStart w:id="0" w:name="_Hlk82606553"/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si se tratare de un contrato de servicios, y el medio de solvencia técnica fuera la declaración indicando el personal técnico o de las unidades técnicas, integradas   o no en la empresa, participantes en el contrato, </w:t>
      </w:r>
      <w:bookmarkEnd w:id="0"/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el mínimo requerido que deben cumplir los licitadores puede establecerse en relación a un número mínimo de personal  y de una categoría concreta (v.g. contar al menos con 2 Ingenieros) y exigir un concreto periodo temporal mínimo de experiencia a dicho personal (v.g. con una experiencia de 12 meses)</w:t>
      </w:r>
    </w:p>
    <w:p w:rsidR="00AD0BB9" w:rsidRPr="00AD0BB9" w:rsidRDefault="00AD0BB9" w:rsidP="00AD0BB9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D0BB9" w:rsidRPr="00AD0BB9" w:rsidRDefault="00AD0BB9" w:rsidP="00AD0BB9">
      <w:pPr>
        <w:numPr>
          <w:ilvl w:val="0"/>
          <w:numId w:val="10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FORMAS DE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ACREDITACION</w:t>
      </w:r>
      <w:proofErr w:type="spellEnd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salvo en caso de disponer de clasificación empresarial acorde al mismo tipo de contrato e importe.</w:t>
      </w:r>
    </w:p>
    <w:p w:rsidR="00AD0BB9" w:rsidRPr="00AD0BB9" w:rsidRDefault="00AD0BB9" w:rsidP="00AD0BB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EXPERIENCIA.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>Relación de las principales obras/suministros/servicios/ realizados en el curso de los tres últimos años en la que se indique el importe, la fecha y el destinatario, público o privado de los mismos, avalados por certificados de buena ejecución.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Asimismo, deberán aportarse los siguientes documentos: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Certificados de buena ejecución expedidos o visados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por el órgano competente (cuando el destinatario de los suministros sea una entidad del sector público).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Certificados expedidos por los empresarios destinatarios de los suministros</w:t>
      </w: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o, a falta de este certificado, declaración del empresario que acredite la realización de la prestación (cuando el destinatario de los suministros sea una entidad del sector privado).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EMPRESAS DE NUEVA </w:t>
      </w:r>
      <w:proofErr w:type="spellStart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CREACION</w:t>
      </w:r>
      <w:proofErr w:type="spellEnd"/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 forma de acreditación depende del medio requerido para acreditar la solvencia. 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(v.g. conforme al caso anteriormente expuesto, si se tratare de un contrato de servicios, y el medio de solvencia técnica fuera la declaración indicando el personal técnico o de las unidades técnicas, integradas o no en la empresa, participantes en el contrato, y se hubiere fijado como mínimo requerido contar, al menos, con dos ingenieros,  </w:t>
      </w: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el medio de acreditación consistiría en declaración responsable del representante legal de la empresa, en la que se indique el número personal técnico requerido y su cualificación, expresando las titulaciones de cada uno de ellos).</w:t>
      </w: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BB9" w:rsidRPr="00AD0BB9" w:rsidRDefault="00AD0BB9" w:rsidP="00AD0B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PALENCIA, A 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DE NOVIEMBRE D</w:t>
      </w:r>
      <w:bookmarkStart w:id="1" w:name="_GoBack"/>
      <w:bookmarkEnd w:id="1"/>
      <w:r w:rsidRPr="00AD0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 2021.</w:t>
      </w:r>
    </w:p>
    <w:p w:rsidR="001F19A4" w:rsidRDefault="001F19A4" w:rsidP="001F19A4">
      <w:pPr>
        <w:spacing w:after="0"/>
        <w:rPr>
          <w:b/>
        </w:rPr>
      </w:pPr>
    </w:p>
    <w:sectPr w:rsidR="001F19A4" w:rsidSect="00F46A35">
      <w:headerReference w:type="default" r:id="rId8"/>
      <w:pgSz w:w="11906" w:h="16838"/>
      <w:pgMar w:top="1985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55" w:rsidRDefault="00A60CD9">
      <w:pPr>
        <w:spacing w:after="0"/>
      </w:pPr>
      <w:r>
        <w:separator/>
      </w:r>
    </w:p>
  </w:endnote>
  <w:endnote w:type="continuationSeparator" w:id="0">
    <w:p w:rsidR="00DE7F55" w:rsidRDefault="00A60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55" w:rsidRDefault="00A60CD9">
      <w:pPr>
        <w:spacing w:after="0"/>
      </w:pPr>
      <w:r>
        <w:separator/>
      </w:r>
    </w:p>
  </w:footnote>
  <w:footnote w:type="continuationSeparator" w:id="0">
    <w:p w:rsidR="00DE7F55" w:rsidRDefault="00A60C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924" w:type="dxa"/>
      <w:tblInd w:w="-318" w:type="dxa"/>
      <w:tblLayout w:type="fixed"/>
      <w:tblLook w:val="0000" w:firstRow="0" w:lastRow="0" w:firstColumn="0" w:lastColumn="0" w:noHBand="0" w:noVBand="0"/>
    </w:tblPr>
    <w:tblGrid>
      <w:gridCol w:w="5246"/>
      <w:gridCol w:w="4678"/>
    </w:tblGrid>
    <w:tr w:rsidR="00043E21">
      <w:trPr>
        <w:trHeight w:val="315"/>
      </w:trPr>
      <w:tc>
        <w:tcPr>
          <w:tcW w:w="5246" w:type="dxa"/>
          <w:vMerge w:val="restart"/>
        </w:tcPr>
        <w:p w:rsidR="00043E21" w:rsidRDefault="00A60C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232660" cy="670560"/>
                <wp:effectExtent l="0" t="0" r="0" b="0"/>
                <wp:docPr id="6" name="image1.jpg" descr="Logo Largo 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Largo C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660" cy="670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4" w:space="0" w:color="FFFFFF"/>
            <w:right w:val="nil"/>
          </w:tcBorders>
          <w:vAlign w:val="center"/>
        </w:tcPr>
        <w:p w:rsidR="00043E21" w:rsidRDefault="00043E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  <w:tr w:rsidR="00A60CD9">
      <w:trPr>
        <w:gridAfter w:val="1"/>
        <w:wAfter w:w="4678" w:type="dxa"/>
        <w:trHeight w:val="315"/>
      </w:trPr>
      <w:tc>
        <w:tcPr>
          <w:tcW w:w="5246" w:type="dxa"/>
          <w:vMerge/>
        </w:tcPr>
        <w:p w:rsidR="00A60CD9" w:rsidRDefault="00A60C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color w:val="000000"/>
            </w:rPr>
          </w:pPr>
        </w:p>
      </w:tc>
    </w:tr>
  </w:tbl>
  <w:p w:rsidR="00043E21" w:rsidRPr="00A60CD9" w:rsidRDefault="00A60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  <w:r w:rsidRPr="00A60CD9">
      <w:rPr>
        <w:b/>
        <w:color w:val="000000"/>
      </w:rPr>
      <w:t>UNIDAD FUNCIONAL DE CONTRATACION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139"/>
    <w:multiLevelType w:val="hybridMultilevel"/>
    <w:tmpl w:val="1BA88022"/>
    <w:lvl w:ilvl="0" w:tplc="2F1E1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5B5"/>
    <w:multiLevelType w:val="hybridMultilevel"/>
    <w:tmpl w:val="D4CAD4C2"/>
    <w:lvl w:ilvl="0" w:tplc="A0FC5A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71C2"/>
    <w:multiLevelType w:val="hybridMultilevel"/>
    <w:tmpl w:val="F7843B3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70E0A"/>
    <w:multiLevelType w:val="hybridMultilevel"/>
    <w:tmpl w:val="3A2E5082"/>
    <w:lvl w:ilvl="0" w:tplc="239C83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943"/>
    <w:multiLevelType w:val="multilevel"/>
    <w:tmpl w:val="92ECEB1A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010F98"/>
    <w:multiLevelType w:val="hybridMultilevel"/>
    <w:tmpl w:val="D04C749C"/>
    <w:lvl w:ilvl="0" w:tplc="24427FA8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0AB2C1E"/>
    <w:multiLevelType w:val="multilevel"/>
    <w:tmpl w:val="4B00C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860319"/>
    <w:multiLevelType w:val="hybridMultilevel"/>
    <w:tmpl w:val="EF44CB4A"/>
    <w:lvl w:ilvl="0" w:tplc="616835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73A"/>
    <w:multiLevelType w:val="multilevel"/>
    <w:tmpl w:val="98D6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378F6"/>
    <w:multiLevelType w:val="multilevel"/>
    <w:tmpl w:val="6E4E32AE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3D07C7"/>
    <w:multiLevelType w:val="hybridMultilevel"/>
    <w:tmpl w:val="108C4134"/>
    <w:lvl w:ilvl="0" w:tplc="FC5E4B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F0FBA"/>
    <w:multiLevelType w:val="hybridMultilevel"/>
    <w:tmpl w:val="5B44DADE"/>
    <w:lvl w:ilvl="0" w:tplc="4B7AF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21BDA"/>
    <w:multiLevelType w:val="multilevel"/>
    <w:tmpl w:val="75085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F1A4C"/>
    <w:multiLevelType w:val="hybridMultilevel"/>
    <w:tmpl w:val="F4D2B63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A57B01"/>
    <w:multiLevelType w:val="hybridMultilevel"/>
    <w:tmpl w:val="2F9E09A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A969ED"/>
    <w:multiLevelType w:val="hybridMultilevel"/>
    <w:tmpl w:val="635668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15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21"/>
    <w:rsid w:val="00043E21"/>
    <w:rsid w:val="001F19A4"/>
    <w:rsid w:val="00A60CD9"/>
    <w:rsid w:val="00AD0BB9"/>
    <w:rsid w:val="00B57B37"/>
    <w:rsid w:val="00B87418"/>
    <w:rsid w:val="00C50214"/>
    <w:rsid w:val="00DE7F55"/>
    <w:rsid w:val="00F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0D129"/>
  <w15:docId w15:val="{4D0A2891-5AAA-4B41-88E7-0A9358B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FA"/>
  </w:style>
  <w:style w:type="paragraph" w:styleId="Ttulo1">
    <w:name w:val="heading 1"/>
    <w:basedOn w:val="Normal"/>
    <w:next w:val="Normal"/>
    <w:link w:val="Ttulo1Car"/>
    <w:uiPriority w:val="9"/>
    <w:qFormat/>
    <w:rsid w:val="00A41B65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48AA"/>
    <w:pPr>
      <w:keepNext/>
      <w:keepLines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48C1"/>
    <w:pPr>
      <w:keepNext/>
      <w:spacing w:before="240" w:after="60"/>
      <w:jc w:val="left"/>
      <w:outlineLvl w:val="2"/>
    </w:pPr>
    <w:rPr>
      <w:rFonts w:ascii="Times New Roman" w:hAnsi="Times New Roman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980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01E8"/>
  </w:style>
  <w:style w:type="paragraph" w:styleId="Piedepgina">
    <w:name w:val="footer"/>
    <w:basedOn w:val="Normal"/>
    <w:link w:val="PiedepginaCar"/>
    <w:uiPriority w:val="99"/>
    <w:unhideWhenUsed/>
    <w:rsid w:val="0098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E8"/>
  </w:style>
  <w:style w:type="paragraph" w:styleId="Prrafodelista">
    <w:name w:val="List Paragraph"/>
    <w:basedOn w:val="Normal"/>
    <w:uiPriority w:val="34"/>
    <w:qFormat/>
    <w:rsid w:val="007A0422"/>
    <w:pPr>
      <w:ind w:left="680"/>
      <w:contextualSpacing/>
    </w:pPr>
    <w:rPr>
      <w:rFonts w:eastAsiaTheme="minorEastAsia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C04"/>
    <w:rPr>
      <w:rFonts w:ascii="Tahoma" w:hAnsi="Tahoma" w:cs="Tahoma"/>
      <w:sz w:val="16"/>
      <w:szCs w:val="16"/>
    </w:rPr>
  </w:style>
  <w:style w:type="character" w:styleId="Hipervnculo">
    <w:name w:val="Hyperlink"/>
    <w:rsid w:val="00492CE0"/>
    <w:rPr>
      <w:color w:val="0000FF"/>
      <w:u w:val="single"/>
    </w:rPr>
  </w:style>
  <w:style w:type="character" w:styleId="Refdenotaalpie">
    <w:name w:val="footnote reference"/>
    <w:uiPriority w:val="99"/>
    <w:semiHidden/>
    <w:rsid w:val="00492CE0"/>
    <w:rPr>
      <w:position w:val="6"/>
      <w:sz w:val="16"/>
    </w:rPr>
  </w:style>
  <w:style w:type="paragraph" w:styleId="Textonotapie">
    <w:name w:val="footnote text"/>
    <w:basedOn w:val="Normal"/>
    <w:link w:val="TextonotapieCar"/>
    <w:uiPriority w:val="99"/>
    <w:unhideWhenUsed/>
    <w:rsid w:val="00492CE0"/>
    <w:rPr>
      <w:rFonts w:ascii="Calibri" w:eastAsia="Calibri" w:hAnsi="Calibri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2CE0"/>
    <w:rPr>
      <w:rFonts w:ascii="Calibri" w:eastAsia="Calibri" w:hAnsi="Calibri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B048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ndar">
    <w:name w:val="Estándar"/>
    <w:rsid w:val="00B048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rsid w:val="00B048C1"/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rsid w:val="00B048C1"/>
    <w:pPr>
      <w:ind w:left="283"/>
      <w:contextualSpacing/>
      <w:jc w:val="left"/>
    </w:pPr>
    <w:rPr>
      <w:rFonts w:ascii="Times New Roman" w:hAnsi="Times New Roman"/>
      <w:sz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8C1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8C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48C1"/>
    <w:pPr>
      <w:spacing w:after="0"/>
      <w:ind w:firstLine="360"/>
      <w:jc w:val="left"/>
    </w:pPr>
    <w:rPr>
      <w:rFonts w:ascii="Times New Roman" w:hAnsi="Times New Roman"/>
      <w:sz w:val="20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48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048C1"/>
    <w:pPr>
      <w:jc w:val="center"/>
    </w:pPr>
    <w:rPr>
      <w:rFonts w:ascii="Times New Roman" w:hAnsi="Times New Roman"/>
      <w:b/>
      <w:u w:val="single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048C1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1B65"/>
    <w:rPr>
      <w:rFonts w:eastAsiaTheme="majorEastAsia" w:cstheme="majorBidi"/>
      <w:b/>
      <w:color w:val="365F91" w:themeColor="accent1" w:themeShade="BF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48AA"/>
    <w:rPr>
      <w:rFonts w:ascii="Arial" w:eastAsiaTheme="majorEastAsia" w:hAnsi="Arial" w:cstheme="majorBidi"/>
      <w:color w:val="365F91" w:themeColor="accent1" w:themeShade="BF"/>
      <w:szCs w:val="2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7E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B42070"/>
    <w:rPr>
      <w:rFonts w:ascii="Times New Roman" w:eastAsia="Times New Roman" w:hAnsi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JW24w5XcV3U0Sns3E6ItE13tw==">AMUW2mW3wJFFSUM60fTl1FO6jTtcGto9DqYHs6QI6ppiKdkizxRdZWv7bHX19A6iZ1sGiHVMkggB45rrfjB5fG96lQnVkENWeu3Og6E3vKdo3h5R0yHSbfhbacxlkc7ZLY7GYWHWnaru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6401</Characters>
  <Application>Microsoft Office Word</Application>
  <DocSecurity>4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v_delrio</dc:creator>
  <cp:lastModifiedBy>Isaac Gallardo Tarrero</cp:lastModifiedBy>
  <cp:revision>2</cp:revision>
  <dcterms:created xsi:type="dcterms:W3CDTF">2021-11-23T10:35:00Z</dcterms:created>
  <dcterms:modified xsi:type="dcterms:W3CDTF">2021-11-23T10:35:00Z</dcterms:modified>
</cp:coreProperties>
</file>