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BD5" w:rsidRDefault="006A3BD5"/>
    <w:p w:rsidR="006A3BD5" w:rsidRPr="00842A16" w:rsidRDefault="006A3BD5"/>
    <w:p w:rsidR="0016581B" w:rsidRPr="00842A16" w:rsidRDefault="0016581B" w:rsidP="00727612">
      <w:pPr>
        <w:widowControl w:val="0"/>
        <w:autoSpaceDE w:val="0"/>
        <w:autoSpaceDN w:val="0"/>
        <w:adjustRightInd w:val="0"/>
        <w:spacing w:line="360" w:lineRule="auto"/>
        <w:jc w:val="center"/>
        <w:rPr>
          <w:rFonts w:ascii="Arial" w:hAnsi="Arial"/>
          <w:b/>
          <w:bCs/>
        </w:rPr>
      </w:pPr>
      <w:r w:rsidRPr="003927A0">
        <w:rPr>
          <w:rFonts w:ascii="Arial" w:hAnsi="Arial"/>
          <w:b/>
          <w:bCs/>
          <w:u w:val="single"/>
        </w:rPr>
        <w:t>NOTA</w:t>
      </w:r>
      <w:r w:rsidR="00727612">
        <w:rPr>
          <w:rFonts w:ascii="Arial" w:hAnsi="Arial"/>
          <w:b/>
          <w:bCs/>
          <w:u w:val="single"/>
        </w:rPr>
        <w:t>S AL EXPEDIENTE DE LIQUIDACIÓN</w:t>
      </w:r>
      <w:r w:rsidR="00DB46BD">
        <w:rPr>
          <w:rFonts w:ascii="Arial" w:hAnsi="Arial"/>
          <w:b/>
          <w:bCs/>
          <w:u w:val="single"/>
        </w:rPr>
        <w:t xml:space="preserve"> DEL PRESUPUESTO</w:t>
      </w:r>
    </w:p>
    <w:p w:rsidR="0016581B" w:rsidRPr="00842A16" w:rsidRDefault="0016581B" w:rsidP="008C0F21">
      <w:pPr>
        <w:widowControl w:val="0"/>
        <w:autoSpaceDE w:val="0"/>
        <w:autoSpaceDN w:val="0"/>
        <w:adjustRightInd w:val="0"/>
        <w:spacing w:line="240" w:lineRule="atLeast"/>
        <w:rPr>
          <w:rFonts w:ascii="Arial" w:hAnsi="Arial"/>
          <w:bCs/>
        </w:rPr>
      </w:pPr>
    </w:p>
    <w:p w:rsidR="0016581B" w:rsidRPr="00842A16" w:rsidRDefault="00842A16" w:rsidP="003927A0">
      <w:pPr>
        <w:widowControl w:val="0"/>
        <w:autoSpaceDE w:val="0"/>
        <w:autoSpaceDN w:val="0"/>
        <w:adjustRightInd w:val="0"/>
        <w:spacing w:after="240" w:line="240" w:lineRule="atLeast"/>
        <w:ind w:firstLine="709"/>
        <w:jc w:val="both"/>
        <w:rPr>
          <w:rFonts w:ascii="Arial" w:hAnsi="Arial"/>
          <w:bCs/>
        </w:rPr>
      </w:pPr>
      <w:r w:rsidRPr="00FD217F">
        <w:rPr>
          <w:rFonts w:ascii="Arial" w:hAnsi="Arial"/>
          <w:bCs/>
          <w:color w:val="0000FF"/>
        </w:rPr>
        <w:t>El presente modelo</w:t>
      </w:r>
      <w:r w:rsidRPr="00842A16">
        <w:rPr>
          <w:rFonts w:ascii="Arial" w:hAnsi="Arial"/>
          <w:bCs/>
        </w:rPr>
        <w:t xml:space="preserve"> de expediente de Liquidación del Presupuesto </w:t>
      </w:r>
      <w:r w:rsidRPr="0042035D">
        <w:rPr>
          <w:rFonts w:ascii="Arial" w:hAnsi="Arial"/>
          <w:bCs/>
          <w:color w:val="0000FF"/>
        </w:rPr>
        <w:t>es orientativo</w:t>
      </w:r>
      <w:r w:rsidRPr="00842A16">
        <w:rPr>
          <w:rFonts w:ascii="Arial" w:hAnsi="Arial"/>
          <w:bCs/>
        </w:rPr>
        <w:t xml:space="preserve"> y con él se pretende prestar apoyo a las Ent</w:t>
      </w:r>
      <w:r w:rsidR="00383043">
        <w:rPr>
          <w:rFonts w:ascii="Arial" w:hAnsi="Arial"/>
          <w:bCs/>
        </w:rPr>
        <w:t xml:space="preserve">idades Locales de la provincia. Se  deberá </w:t>
      </w:r>
      <w:r>
        <w:rPr>
          <w:rFonts w:ascii="Arial" w:hAnsi="Arial"/>
          <w:bCs/>
        </w:rPr>
        <w:t>revisar y en su caso ad</w:t>
      </w:r>
      <w:r w:rsidRPr="00842A16">
        <w:rPr>
          <w:rFonts w:ascii="Arial" w:hAnsi="Arial"/>
          <w:bCs/>
        </w:rPr>
        <w:t>a</w:t>
      </w:r>
      <w:r>
        <w:rPr>
          <w:rFonts w:ascii="Arial" w:hAnsi="Arial"/>
          <w:bCs/>
        </w:rPr>
        <w:t>p</w:t>
      </w:r>
      <w:r w:rsidRPr="00842A16">
        <w:rPr>
          <w:rFonts w:ascii="Arial" w:hAnsi="Arial"/>
          <w:bCs/>
        </w:rPr>
        <w:t>tar a las circunstancias de cada Entidad.</w:t>
      </w:r>
    </w:p>
    <w:p w:rsidR="00C36565" w:rsidRDefault="0078744B" w:rsidP="003927A0">
      <w:pPr>
        <w:widowControl w:val="0"/>
        <w:autoSpaceDE w:val="0"/>
        <w:autoSpaceDN w:val="0"/>
        <w:adjustRightInd w:val="0"/>
        <w:spacing w:after="240" w:line="240" w:lineRule="atLeast"/>
        <w:ind w:firstLine="709"/>
        <w:jc w:val="both"/>
        <w:rPr>
          <w:rFonts w:ascii="Arial" w:hAnsi="Arial"/>
          <w:bCs/>
          <w:color w:val="0000FF"/>
        </w:rPr>
      </w:pPr>
      <w:r>
        <w:rPr>
          <w:rFonts w:ascii="Arial" w:hAnsi="Arial"/>
          <w:bCs/>
          <w:color w:val="0000FF"/>
        </w:rPr>
        <w:t>En el ejercicio 202</w:t>
      </w:r>
      <w:r w:rsidR="00DD24E3">
        <w:rPr>
          <w:rFonts w:ascii="Arial" w:hAnsi="Arial"/>
          <w:bCs/>
          <w:color w:val="0000FF"/>
        </w:rPr>
        <w:t>3</w:t>
      </w:r>
      <w:r>
        <w:rPr>
          <w:rFonts w:ascii="Arial" w:hAnsi="Arial"/>
          <w:bCs/>
          <w:color w:val="0000FF"/>
        </w:rPr>
        <w:t xml:space="preserve"> se encuentran suspendidas las</w:t>
      </w:r>
      <w:r w:rsidR="009068CA" w:rsidRPr="009068CA">
        <w:rPr>
          <w:rFonts w:ascii="Arial" w:hAnsi="Arial"/>
          <w:bCs/>
          <w:color w:val="0000FF"/>
        </w:rPr>
        <w:t xml:space="preserve"> Reglas Fiscales</w:t>
      </w:r>
      <w:r w:rsidR="00C36565">
        <w:rPr>
          <w:rFonts w:ascii="Arial" w:hAnsi="Arial"/>
          <w:bCs/>
          <w:color w:val="0000FF"/>
        </w:rPr>
        <w:t xml:space="preserve"> (</w:t>
      </w:r>
      <w:r w:rsidR="002137C3">
        <w:rPr>
          <w:rFonts w:ascii="Arial" w:hAnsi="Arial"/>
          <w:bCs/>
          <w:color w:val="0000FF"/>
        </w:rPr>
        <w:t>Estabilidad Presupuestaria</w:t>
      </w:r>
      <w:r w:rsidR="00221EA9">
        <w:rPr>
          <w:rFonts w:ascii="Arial" w:hAnsi="Arial"/>
          <w:bCs/>
          <w:color w:val="0000FF"/>
        </w:rPr>
        <w:t xml:space="preserve">, </w:t>
      </w:r>
      <w:r w:rsidR="002137C3">
        <w:rPr>
          <w:rFonts w:ascii="Arial" w:hAnsi="Arial"/>
          <w:bCs/>
          <w:color w:val="0000FF"/>
        </w:rPr>
        <w:t>Regla de Gasto</w:t>
      </w:r>
      <w:r w:rsidR="00DD24E3">
        <w:rPr>
          <w:rFonts w:ascii="Arial" w:hAnsi="Arial"/>
          <w:bCs/>
          <w:color w:val="0000FF"/>
        </w:rPr>
        <w:t xml:space="preserve"> y </w:t>
      </w:r>
      <w:r w:rsidR="002137C3">
        <w:rPr>
          <w:rFonts w:ascii="Arial" w:hAnsi="Arial"/>
          <w:bCs/>
          <w:color w:val="0000FF"/>
        </w:rPr>
        <w:t>Límite de Deuda</w:t>
      </w:r>
      <w:r w:rsidR="009068CA">
        <w:rPr>
          <w:rFonts w:ascii="Arial" w:hAnsi="Arial"/>
          <w:bCs/>
          <w:color w:val="0000FF"/>
        </w:rPr>
        <w:t>).</w:t>
      </w:r>
    </w:p>
    <w:p w:rsidR="00DD24E3" w:rsidRPr="00093342" w:rsidRDefault="00DD24E3" w:rsidP="003927A0">
      <w:pPr>
        <w:widowControl w:val="0"/>
        <w:autoSpaceDE w:val="0"/>
        <w:autoSpaceDN w:val="0"/>
        <w:adjustRightInd w:val="0"/>
        <w:spacing w:after="240" w:line="240" w:lineRule="atLeast"/>
        <w:ind w:firstLine="709"/>
        <w:jc w:val="both"/>
        <w:rPr>
          <w:rFonts w:ascii="Arial" w:hAnsi="Arial"/>
          <w:bCs/>
        </w:rPr>
      </w:pPr>
      <w:r w:rsidRPr="00093342">
        <w:rPr>
          <w:rFonts w:ascii="Arial" w:hAnsi="Arial"/>
          <w:bCs/>
        </w:rPr>
        <w:t xml:space="preserve">La suspensión de las reglas fiscales, sin embargo, no implica la suspensión de la aplicación de la Ley Orgánica 2/2012, de 27 de abril, de </w:t>
      </w:r>
      <w:r w:rsidR="002137C3">
        <w:rPr>
          <w:rFonts w:ascii="Arial" w:hAnsi="Arial"/>
          <w:bCs/>
        </w:rPr>
        <w:t>Estabilidad Presupuestaria</w:t>
      </w:r>
      <w:r w:rsidRPr="00093342">
        <w:rPr>
          <w:rFonts w:ascii="Arial" w:hAnsi="Arial"/>
          <w:bCs/>
        </w:rPr>
        <w:t xml:space="preserve"> y Sostenibilidad Financiera, del Texto Refundido de la Ley Reguladora de las Haciendas Locales, aprobado por el Real Decreto Legislativo 2/2004, de 5 de marzo ni del resto de la normativa hacendística, todas continúan en vigor.</w:t>
      </w:r>
    </w:p>
    <w:p w:rsidR="00C36565" w:rsidRPr="00A67EF4" w:rsidRDefault="003927A0" w:rsidP="003927A0">
      <w:pPr>
        <w:widowControl w:val="0"/>
        <w:autoSpaceDE w:val="0"/>
        <w:autoSpaceDN w:val="0"/>
        <w:adjustRightInd w:val="0"/>
        <w:spacing w:after="240" w:line="240" w:lineRule="atLeast"/>
        <w:ind w:firstLine="709"/>
        <w:jc w:val="both"/>
        <w:rPr>
          <w:rFonts w:ascii="Arial" w:hAnsi="Arial"/>
          <w:bCs/>
        </w:rPr>
      </w:pPr>
      <w:r w:rsidRPr="003927A0">
        <w:rPr>
          <w:rFonts w:ascii="Arial" w:hAnsi="Arial"/>
          <w:bCs/>
        </w:rPr>
        <w:t>Además del expediente clásico, s</w:t>
      </w:r>
      <w:r w:rsidR="00A67EF4" w:rsidRPr="003927A0">
        <w:rPr>
          <w:rFonts w:ascii="Arial" w:hAnsi="Arial"/>
          <w:bCs/>
        </w:rPr>
        <w:t>e</w:t>
      </w:r>
      <w:r w:rsidR="00A67EF4">
        <w:rPr>
          <w:rFonts w:ascii="Arial" w:hAnsi="Arial"/>
          <w:bCs/>
          <w:u w:val="single"/>
        </w:rPr>
        <w:t xml:space="preserve"> incluye</w:t>
      </w:r>
      <w:r>
        <w:rPr>
          <w:rFonts w:ascii="Arial" w:hAnsi="Arial"/>
          <w:bCs/>
          <w:u w:val="single"/>
        </w:rPr>
        <w:t xml:space="preserve"> el</w:t>
      </w:r>
      <w:r w:rsidR="00A67EF4">
        <w:rPr>
          <w:rFonts w:ascii="Arial" w:hAnsi="Arial"/>
          <w:bCs/>
          <w:u w:val="single"/>
        </w:rPr>
        <w:t xml:space="preserve"> informe </w:t>
      </w:r>
      <w:r w:rsidR="00A67EF4" w:rsidRPr="00A67EF4">
        <w:rPr>
          <w:rFonts w:ascii="Arial" w:hAnsi="Arial"/>
          <w:bCs/>
        </w:rPr>
        <w:t xml:space="preserve">de </w:t>
      </w:r>
      <w:r w:rsidR="00C36565" w:rsidRPr="00A67EF4">
        <w:rPr>
          <w:rFonts w:ascii="Arial" w:hAnsi="Arial"/>
          <w:bCs/>
        </w:rPr>
        <w:t xml:space="preserve">evaluación </w:t>
      </w:r>
      <w:r w:rsidR="00CE6E4F">
        <w:rPr>
          <w:rFonts w:ascii="Arial" w:hAnsi="Arial"/>
          <w:bCs/>
        </w:rPr>
        <w:t xml:space="preserve">de </w:t>
      </w:r>
      <w:r w:rsidR="00A67EF4" w:rsidRPr="00A67EF4">
        <w:rPr>
          <w:rFonts w:ascii="Arial" w:hAnsi="Arial"/>
          <w:bCs/>
        </w:rPr>
        <w:t xml:space="preserve">la </w:t>
      </w:r>
      <w:r w:rsidR="002137C3">
        <w:rPr>
          <w:rFonts w:ascii="Arial" w:hAnsi="Arial"/>
          <w:bCs/>
        </w:rPr>
        <w:t>Estabilidad Presupuestaria</w:t>
      </w:r>
      <w:r w:rsidR="00C36565" w:rsidRPr="00A67EF4">
        <w:rPr>
          <w:rFonts w:ascii="Arial" w:hAnsi="Arial"/>
          <w:bCs/>
        </w:rPr>
        <w:t xml:space="preserve"> en términos de capacidad o necesidad de fi</w:t>
      </w:r>
      <w:r w:rsidR="002137C3">
        <w:rPr>
          <w:rFonts w:ascii="Arial" w:hAnsi="Arial"/>
          <w:bCs/>
        </w:rPr>
        <w:t>nanciación conforme al SEC-10, N</w:t>
      </w:r>
      <w:r w:rsidR="00C36565" w:rsidRPr="00A67EF4">
        <w:rPr>
          <w:rFonts w:ascii="Arial" w:hAnsi="Arial"/>
          <w:bCs/>
        </w:rPr>
        <w:t xml:space="preserve">ivel de </w:t>
      </w:r>
      <w:r w:rsidR="002137C3">
        <w:rPr>
          <w:rFonts w:ascii="Arial" w:hAnsi="Arial"/>
          <w:bCs/>
        </w:rPr>
        <w:t>Endeudamiento</w:t>
      </w:r>
      <w:r w:rsidR="00C36565" w:rsidRPr="00A67EF4">
        <w:rPr>
          <w:rFonts w:ascii="Arial" w:hAnsi="Arial"/>
          <w:bCs/>
        </w:rPr>
        <w:t xml:space="preserve"> </w:t>
      </w:r>
      <w:r w:rsidR="00606C77" w:rsidRPr="00A67EF4">
        <w:rPr>
          <w:rFonts w:ascii="Arial" w:hAnsi="Arial"/>
          <w:bCs/>
        </w:rPr>
        <w:t>y,</w:t>
      </w:r>
      <w:r w:rsidR="000E058B">
        <w:rPr>
          <w:rFonts w:ascii="Arial" w:hAnsi="Arial"/>
          <w:bCs/>
        </w:rPr>
        <w:t xml:space="preserve"> respecto de la </w:t>
      </w:r>
      <w:r w:rsidR="002137C3">
        <w:rPr>
          <w:rFonts w:ascii="Arial" w:hAnsi="Arial"/>
          <w:bCs/>
        </w:rPr>
        <w:t>Regla de Gasto</w:t>
      </w:r>
      <w:r w:rsidR="000E058B">
        <w:rPr>
          <w:rFonts w:ascii="Arial" w:hAnsi="Arial"/>
          <w:bCs/>
        </w:rPr>
        <w:t xml:space="preserve">, </w:t>
      </w:r>
      <w:r w:rsidR="00C36565" w:rsidRPr="00A67EF4">
        <w:rPr>
          <w:rFonts w:ascii="Arial" w:hAnsi="Arial"/>
          <w:bCs/>
        </w:rPr>
        <w:t>la variación del Gasto</w:t>
      </w:r>
      <w:r w:rsidR="00E1465B">
        <w:rPr>
          <w:rFonts w:ascii="Arial" w:hAnsi="Arial"/>
          <w:bCs/>
        </w:rPr>
        <w:t xml:space="preserve"> Comput</w:t>
      </w:r>
      <w:r w:rsidR="007E175B">
        <w:rPr>
          <w:rFonts w:ascii="Arial" w:hAnsi="Arial"/>
          <w:bCs/>
        </w:rPr>
        <w:t>able en el ejercicio 202</w:t>
      </w:r>
      <w:r w:rsidR="00093342">
        <w:rPr>
          <w:rFonts w:ascii="Arial" w:hAnsi="Arial"/>
          <w:bCs/>
        </w:rPr>
        <w:t>3</w:t>
      </w:r>
      <w:r w:rsidR="007E175B">
        <w:rPr>
          <w:rFonts w:ascii="Arial" w:hAnsi="Arial"/>
          <w:bCs/>
        </w:rPr>
        <w:t xml:space="preserve"> respecto al 202</w:t>
      </w:r>
      <w:r w:rsidR="00093342">
        <w:rPr>
          <w:rFonts w:ascii="Arial" w:hAnsi="Arial"/>
          <w:bCs/>
        </w:rPr>
        <w:t>2</w:t>
      </w:r>
      <w:r w:rsidR="00305747">
        <w:rPr>
          <w:rFonts w:ascii="Arial" w:hAnsi="Arial"/>
          <w:bCs/>
        </w:rPr>
        <w:t>.</w:t>
      </w:r>
    </w:p>
    <w:p w:rsidR="0016581B" w:rsidRPr="0042035D" w:rsidRDefault="0042035D" w:rsidP="003927A0">
      <w:pPr>
        <w:widowControl w:val="0"/>
        <w:autoSpaceDE w:val="0"/>
        <w:autoSpaceDN w:val="0"/>
        <w:adjustRightInd w:val="0"/>
        <w:spacing w:line="240" w:lineRule="atLeast"/>
        <w:ind w:firstLine="709"/>
        <w:jc w:val="both"/>
        <w:rPr>
          <w:rFonts w:ascii="Arial" w:hAnsi="Arial"/>
          <w:bCs/>
        </w:rPr>
      </w:pPr>
      <w:r w:rsidRPr="0042035D">
        <w:rPr>
          <w:rFonts w:ascii="Arial" w:hAnsi="Arial"/>
          <w:bCs/>
        </w:rPr>
        <w:t xml:space="preserve">Se recuerda que una vez cumplimentado el modelo </w:t>
      </w:r>
      <w:r w:rsidR="00A67EF4">
        <w:rPr>
          <w:rFonts w:ascii="Arial" w:hAnsi="Arial"/>
          <w:bCs/>
        </w:rPr>
        <w:t xml:space="preserve"> de expediente </w:t>
      </w:r>
      <w:r w:rsidRPr="0042035D">
        <w:rPr>
          <w:rFonts w:ascii="Arial" w:hAnsi="Arial"/>
          <w:bCs/>
        </w:rPr>
        <w:t xml:space="preserve">y antes de proceder a su impresión, </w:t>
      </w:r>
      <w:r w:rsidRPr="0042035D">
        <w:rPr>
          <w:rFonts w:ascii="Arial" w:hAnsi="Arial"/>
          <w:bCs/>
          <w:color w:val="0000FF"/>
        </w:rPr>
        <w:t xml:space="preserve">se deben eliminar las notas sombreadas en gris, así como suprimir el logotipo de la </w:t>
      </w:r>
      <w:r w:rsidR="00093342">
        <w:rPr>
          <w:rFonts w:ascii="Arial" w:hAnsi="Arial"/>
          <w:bCs/>
          <w:color w:val="0000FF"/>
        </w:rPr>
        <w:t>D</w:t>
      </w:r>
      <w:r w:rsidRPr="0042035D">
        <w:rPr>
          <w:rFonts w:ascii="Arial" w:hAnsi="Arial"/>
          <w:bCs/>
          <w:color w:val="0000FF"/>
        </w:rPr>
        <w:t>iputación</w:t>
      </w: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727612" w:rsidRDefault="00727612" w:rsidP="008C0F21">
      <w:pPr>
        <w:widowControl w:val="0"/>
        <w:autoSpaceDE w:val="0"/>
        <w:autoSpaceDN w:val="0"/>
        <w:adjustRightInd w:val="0"/>
        <w:spacing w:line="240" w:lineRule="atLeast"/>
        <w:rPr>
          <w:rFonts w:ascii="Arial" w:hAnsi="Arial"/>
          <w:b/>
          <w:bCs/>
          <w:sz w:val="20"/>
          <w:szCs w:val="20"/>
        </w:rPr>
      </w:pPr>
    </w:p>
    <w:p w:rsidR="00727612" w:rsidRDefault="00727612" w:rsidP="008C0F21">
      <w:pPr>
        <w:widowControl w:val="0"/>
        <w:autoSpaceDE w:val="0"/>
        <w:autoSpaceDN w:val="0"/>
        <w:adjustRightInd w:val="0"/>
        <w:spacing w:line="240" w:lineRule="atLeast"/>
        <w:rPr>
          <w:rFonts w:ascii="Arial" w:hAnsi="Arial"/>
          <w:b/>
          <w:bCs/>
          <w:sz w:val="20"/>
          <w:szCs w:val="20"/>
        </w:rPr>
      </w:pPr>
    </w:p>
    <w:p w:rsidR="00727612" w:rsidRDefault="00727612" w:rsidP="008C0F21">
      <w:pPr>
        <w:widowControl w:val="0"/>
        <w:autoSpaceDE w:val="0"/>
        <w:autoSpaceDN w:val="0"/>
        <w:adjustRightInd w:val="0"/>
        <w:spacing w:line="240" w:lineRule="atLeast"/>
        <w:rPr>
          <w:rFonts w:ascii="Arial" w:hAnsi="Arial"/>
          <w:b/>
          <w:bCs/>
          <w:sz w:val="20"/>
          <w:szCs w:val="20"/>
        </w:rPr>
      </w:pPr>
    </w:p>
    <w:p w:rsidR="00727612" w:rsidRDefault="00727612" w:rsidP="008C0F21">
      <w:pPr>
        <w:widowControl w:val="0"/>
        <w:autoSpaceDE w:val="0"/>
        <w:autoSpaceDN w:val="0"/>
        <w:adjustRightInd w:val="0"/>
        <w:spacing w:line="240" w:lineRule="atLeast"/>
        <w:rPr>
          <w:rFonts w:ascii="Arial" w:hAnsi="Arial"/>
          <w:b/>
          <w:bCs/>
          <w:sz w:val="20"/>
          <w:szCs w:val="20"/>
        </w:rPr>
      </w:pPr>
    </w:p>
    <w:p w:rsidR="00727612" w:rsidRDefault="00727612"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16581B" w:rsidRDefault="0016581B" w:rsidP="008C0F21">
      <w:pPr>
        <w:widowControl w:val="0"/>
        <w:autoSpaceDE w:val="0"/>
        <w:autoSpaceDN w:val="0"/>
        <w:adjustRightInd w:val="0"/>
        <w:spacing w:line="240" w:lineRule="atLeast"/>
        <w:rPr>
          <w:rFonts w:ascii="Arial" w:hAnsi="Arial"/>
          <w:b/>
          <w:bCs/>
          <w:sz w:val="20"/>
          <w:szCs w:val="20"/>
        </w:rPr>
      </w:pPr>
    </w:p>
    <w:p w:rsidR="00210402" w:rsidRDefault="00210402" w:rsidP="008C0F21">
      <w:pPr>
        <w:widowControl w:val="0"/>
        <w:autoSpaceDE w:val="0"/>
        <w:autoSpaceDN w:val="0"/>
        <w:adjustRightInd w:val="0"/>
        <w:spacing w:line="240" w:lineRule="atLeast"/>
        <w:rPr>
          <w:rFonts w:ascii="Arial" w:hAnsi="Arial"/>
          <w:b/>
          <w:bCs/>
          <w:sz w:val="20"/>
          <w:szCs w:val="20"/>
        </w:rPr>
      </w:pPr>
    </w:p>
    <w:p w:rsidR="00210402" w:rsidRDefault="00210402" w:rsidP="008C0F21">
      <w:pPr>
        <w:widowControl w:val="0"/>
        <w:autoSpaceDE w:val="0"/>
        <w:autoSpaceDN w:val="0"/>
        <w:adjustRightInd w:val="0"/>
        <w:spacing w:line="240" w:lineRule="atLeast"/>
        <w:rPr>
          <w:rFonts w:ascii="Arial" w:hAnsi="Arial"/>
          <w:b/>
          <w:bCs/>
          <w:sz w:val="20"/>
          <w:szCs w:val="20"/>
        </w:rPr>
      </w:pPr>
    </w:p>
    <w:p w:rsidR="008C0F21" w:rsidRDefault="008C0F21" w:rsidP="008C0F21">
      <w:pPr>
        <w:widowControl w:val="0"/>
        <w:autoSpaceDE w:val="0"/>
        <w:autoSpaceDN w:val="0"/>
        <w:adjustRightInd w:val="0"/>
        <w:spacing w:line="240" w:lineRule="atLeast"/>
        <w:rPr>
          <w:rFonts w:ascii="Arial" w:hAnsi="Arial"/>
          <w:b/>
          <w:bCs/>
          <w:sz w:val="20"/>
          <w:szCs w:val="20"/>
        </w:rPr>
      </w:pPr>
      <w:r>
        <w:rPr>
          <w:rFonts w:ascii="Arial" w:hAnsi="Arial"/>
          <w:b/>
          <w:bCs/>
          <w:sz w:val="20"/>
          <w:szCs w:val="20"/>
        </w:rPr>
        <w:t>AYUNTAMIENTO DE__________________________</w:t>
      </w:r>
    </w:p>
    <w:p w:rsidR="008C0F21" w:rsidRDefault="008C0F21" w:rsidP="008C0F21">
      <w:pPr>
        <w:widowControl w:val="0"/>
        <w:autoSpaceDE w:val="0"/>
        <w:autoSpaceDN w:val="0"/>
        <w:adjustRightInd w:val="0"/>
        <w:spacing w:line="240" w:lineRule="atLeast"/>
        <w:rPr>
          <w:rFonts w:ascii="Arial" w:hAnsi="Arial"/>
          <w:b/>
          <w:bCs/>
          <w:sz w:val="20"/>
          <w:szCs w:val="20"/>
        </w:rPr>
      </w:pPr>
    </w:p>
    <w:p w:rsidR="008C0F21" w:rsidRDefault="008C0F21" w:rsidP="008C0F21">
      <w:pPr>
        <w:widowControl w:val="0"/>
        <w:autoSpaceDE w:val="0"/>
        <w:autoSpaceDN w:val="0"/>
        <w:adjustRightInd w:val="0"/>
        <w:spacing w:line="240" w:lineRule="atLeast"/>
        <w:rPr>
          <w:rFonts w:ascii="Arial" w:hAnsi="Arial"/>
          <w:b/>
          <w:bCs/>
          <w:sz w:val="20"/>
          <w:szCs w:val="20"/>
        </w:rPr>
      </w:pPr>
      <w:r>
        <w:rPr>
          <w:rFonts w:ascii="Arial" w:hAnsi="Arial"/>
          <w:b/>
          <w:bCs/>
          <w:sz w:val="20"/>
          <w:szCs w:val="20"/>
        </w:rPr>
        <w:t>(PALENCIA)</w:t>
      </w:r>
    </w:p>
    <w:p w:rsidR="008C0F21" w:rsidRDefault="008C0F21" w:rsidP="008C0F21">
      <w:pPr>
        <w:widowControl w:val="0"/>
        <w:autoSpaceDE w:val="0"/>
        <w:autoSpaceDN w:val="0"/>
        <w:adjustRightInd w:val="0"/>
        <w:spacing w:line="240" w:lineRule="atLeast"/>
        <w:rPr>
          <w:rFonts w:ascii="Arial" w:hAnsi="Arial"/>
          <w:sz w:val="20"/>
          <w:szCs w:val="20"/>
        </w:rPr>
      </w:pPr>
    </w:p>
    <w:p w:rsidR="008C0F21" w:rsidRDefault="008C0F21" w:rsidP="008C0F21">
      <w:pPr>
        <w:widowControl w:val="0"/>
        <w:autoSpaceDE w:val="0"/>
        <w:autoSpaceDN w:val="0"/>
        <w:adjustRightInd w:val="0"/>
        <w:spacing w:line="240" w:lineRule="atLeast"/>
        <w:rPr>
          <w:rFonts w:ascii="Arial" w:hAnsi="Arial"/>
          <w:sz w:val="20"/>
          <w:szCs w:val="20"/>
        </w:rPr>
      </w:pPr>
    </w:p>
    <w:p w:rsidR="008C0F21" w:rsidRDefault="008C0F21" w:rsidP="008C0F21">
      <w:pPr>
        <w:widowControl w:val="0"/>
        <w:autoSpaceDE w:val="0"/>
        <w:autoSpaceDN w:val="0"/>
        <w:adjustRightInd w:val="0"/>
        <w:spacing w:line="240" w:lineRule="atLeast"/>
        <w:rPr>
          <w:rFonts w:ascii="Arial" w:hAnsi="Arial"/>
          <w:sz w:val="20"/>
          <w:szCs w:val="20"/>
        </w:rPr>
      </w:pPr>
    </w:p>
    <w:p w:rsidR="008C0F21" w:rsidRDefault="008C0F21" w:rsidP="008C0F21">
      <w:pPr>
        <w:widowControl w:val="0"/>
        <w:autoSpaceDE w:val="0"/>
        <w:autoSpaceDN w:val="0"/>
        <w:adjustRightInd w:val="0"/>
        <w:spacing w:line="240" w:lineRule="atLeast"/>
        <w:rPr>
          <w:rFonts w:ascii="Arial" w:hAnsi="Arial"/>
          <w:sz w:val="20"/>
          <w:szCs w:val="20"/>
        </w:rPr>
      </w:pPr>
    </w:p>
    <w:p w:rsidR="008C0F21" w:rsidRDefault="008C0F21" w:rsidP="008C0F21">
      <w:pPr>
        <w:widowControl w:val="0"/>
        <w:autoSpaceDE w:val="0"/>
        <w:autoSpaceDN w:val="0"/>
        <w:adjustRightInd w:val="0"/>
        <w:spacing w:line="240" w:lineRule="atLeast"/>
        <w:rPr>
          <w:rFonts w:ascii="Arial" w:hAnsi="Arial"/>
          <w:sz w:val="20"/>
          <w:szCs w:val="20"/>
        </w:rPr>
      </w:pPr>
    </w:p>
    <w:p w:rsidR="008C0F21" w:rsidRDefault="008C0F21" w:rsidP="008C0F21">
      <w:pPr>
        <w:widowControl w:val="0"/>
        <w:autoSpaceDE w:val="0"/>
        <w:autoSpaceDN w:val="0"/>
        <w:adjustRightInd w:val="0"/>
        <w:spacing w:line="240" w:lineRule="atLeast"/>
        <w:jc w:val="center"/>
        <w:rPr>
          <w:rFonts w:ascii="Arial" w:hAnsi="Arial"/>
        </w:rPr>
      </w:pPr>
    </w:p>
    <w:p w:rsidR="008C0F21" w:rsidRDefault="008C0F21" w:rsidP="008C0F21">
      <w:pPr>
        <w:widowControl w:val="0"/>
        <w:autoSpaceDE w:val="0"/>
        <w:autoSpaceDN w:val="0"/>
        <w:adjustRightInd w:val="0"/>
        <w:spacing w:line="240" w:lineRule="atLeast"/>
        <w:jc w:val="center"/>
        <w:rPr>
          <w:rFonts w:ascii="Arial" w:hAnsi="Arial"/>
        </w:rPr>
      </w:pPr>
    </w:p>
    <w:p w:rsidR="008C0F21" w:rsidRDefault="008C0F21" w:rsidP="008C0F21">
      <w:pPr>
        <w:widowControl w:val="0"/>
        <w:autoSpaceDE w:val="0"/>
        <w:autoSpaceDN w:val="0"/>
        <w:adjustRightInd w:val="0"/>
        <w:spacing w:line="240" w:lineRule="atLeast"/>
        <w:jc w:val="center"/>
        <w:rPr>
          <w:rFonts w:ascii="Arial" w:hAnsi="Arial"/>
        </w:rPr>
      </w:pPr>
    </w:p>
    <w:p w:rsidR="008C0F21" w:rsidRDefault="008C0F21" w:rsidP="008C0F21">
      <w:pPr>
        <w:widowControl w:val="0"/>
        <w:autoSpaceDE w:val="0"/>
        <w:autoSpaceDN w:val="0"/>
        <w:adjustRightInd w:val="0"/>
        <w:spacing w:line="240" w:lineRule="atLeast"/>
        <w:jc w:val="center"/>
        <w:rPr>
          <w:rFonts w:ascii="Arial" w:hAnsi="Arial"/>
        </w:rPr>
      </w:pPr>
    </w:p>
    <w:p w:rsidR="008C0F21" w:rsidRDefault="008C0F21" w:rsidP="008C0F21">
      <w:pPr>
        <w:widowControl w:val="0"/>
        <w:autoSpaceDE w:val="0"/>
        <w:autoSpaceDN w:val="0"/>
        <w:adjustRightInd w:val="0"/>
        <w:spacing w:line="240" w:lineRule="atLeast"/>
        <w:jc w:val="center"/>
        <w:rPr>
          <w:rFonts w:ascii="Arial" w:hAnsi="Arial"/>
          <w:b/>
          <w:bCs/>
        </w:rPr>
      </w:pPr>
    </w:p>
    <w:p w:rsidR="008C0F21" w:rsidRDefault="008C0F21" w:rsidP="008C0F21">
      <w:pPr>
        <w:widowControl w:val="0"/>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line="240" w:lineRule="atLeast"/>
        <w:jc w:val="center"/>
        <w:rPr>
          <w:rFonts w:ascii="Arial" w:hAnsi="Arial"/>
          <w:b/>
          <w:bCs/>
          <w:sz w:val="48"/>
          <w:szCs w:val="48"/>
        </w:rPr>
      </w:pPr>
      <w:r>
        <w:rPr>
          <w:rFonts w:ascii="Arial" w:hAnsi="Arial"/>
          <w:b/>
          <w:bCs/>
          <w:sz w:val="48"/>
          <w:szCs w:val="48"/>
        </w:rPr>
        <w:t>LIQUIDACIÓN DEL PRESUPUESTO</w:t>
      </w:r>
    </w:p>
    <w:p w:rsidR="008C0F21" w:rsidRDefault="008C0F21" w:rsidP="008C0F21">
      <w:pPr>
        <w:widowControl w:val="0"/>
        <w:autoSpaceDE w:val="0"/>
        <w:autoSpaceDN w:val="0"/>
        <w:adjustRightInd w:val="0"/>
        <w:spacing w:line="240" w:lineRule="atLeast"/>
        <w:jc w:val="center"/>
        <w:rPr>
          <w:rFonts w:ascii="Arial" w:hAnsi="Arial"/>
          <w:b/>
          <w:bCs/>
          <w:sz w:val="48"/>
          <w:szCs w:val="48"/>
        </w:rPr>
      </w:pPr>
    </w:p>
    <w:p w:rsidR="008C0F21" w:rsidRDefault="008C0F21" w:rsidP="008C0F21">
      <w:pPr>
        <w:widowControl w:val="0"/>
        <w:autoSpaceDE w:val="0"/>
        <w:autoSpaceDN w:val="0"/>
        <w:adjustRightInd w:val="0"/>
        <w:spacing w:line="240" w:lineRule="atLeast"/>
        <w:jc w:val="center"/>
        <w:rPr>
          <w:rFonts w:ascii="Arial" w:hAnsi="Arial"/>
          <w:b/>
          <w:bCs/>
          <w:sz w:val="48"/>
          <w:szCs w:val="48"/>
        </w:rPr>
      </w:pPr>
    </w:p>
    <w:p w:rsidR="008C0F21" w:rsidRDefault="008C0F21" w:rsidP="008C0F21">
      <w:pPr>
        <w:widowControl w:val="0"/>
        <w:autoSpaceDE w:val="0"/>
        <w:autoSpaceDN w:val="0"/>
        <w:adjustRightInd w:val="0"/>
        <w:spacing w:line="240" w:lineRule="atLeast"/>
        <w:rPr>
          <w:rFonts w:ascii="Arial" w:hAnsi="Arial"/>
          <w:sz w:val="20"/>
          <w:szCs w:val="20"/>
        </w:rPr>
      </w:pPr>
    </w:p>
    <w:p w:rsidR="008C0F21" w:rsidRDefault="008C0F21" w:rsidP="008C0F21">
      <w:pPr>
        <w:widowControl w:val="0"/>
        <w:autoSpaceDE w:val="0"/>
        <w:autoSpaceDN w:val="0"/>
        <w:adjustRightInd w:val="0"/>
        <w:spacing w:line="240" w:lineRule="atLeast"/>
        <w:rPr>
          <w:rFonts w:ascii="Arial" w:hAnsi="Arial"/>
          <w:sz w:val="20"/>
          <w:szCs w:val="20"/>
        </w:rPr>
      </w:pPr>
    </w:p>
    <w:p w:rsidR="008C0F21" w:rsidRDefault="008C0F21" w:rsidP="008C0F21">
      <w:pPr>
        <w:widowControl w:val="0"/>
        <w:autoSpaceDE w:val="0"/>
        <w:autoSpaceDN w:val="0"/>
        <w:adjustRightInd w:val="0"/>
        <w:spacing w:line="240" w:lineRule="atLeast"/>
        <w:rPr>
          <w:rFonts w:ascii="Arial" w:hAnsi="Arial"/>
          <w:sz w:val="20"/>
          <w:szCs w:val="20"/>
        </w:rPr>
      </w:pPr>
    </w:p>
    <w:p w:rsidR="00120AA8" w:rsidRDefault="00120AA8"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sz w:val="20"/>
          <w:szCs w:val="20"/>
        </w:rPr>
      </w:pPr>
    </w:p>
    <w:p w:rsidR="00A84F07" w:rsidRDefault="00A84F07" w:rsidP="008C0F21">
      <w:pPr>
        <w:widowControl w:val="0"/>
        <w:autoSpaceDE w:val="0"/>
        <w:autoSpaceDN w:val="0"/>
        <w:adjustRightInd w:val="0"/>
        <w:spacing w:line="240" w:lineRule="atLeast"/>
        <w:rPr>
          <w:rFonts w:ascii="Arial" w:hAnsi="Arial"/>
          <w:b/>
          <w:bCs/>
          <w:sz w:val="20"/>
          <w:szCs w:val="20"/>
        </w:rPr>
      </w:pPr>
    </w:p>
    <w:p w:rsidR="001B4C46" w:rsidRDefault="001B4C46" w:rsidP="008C0F21">
      <w:pPr>
        <w:widowControl w:val="0"/>
        <w:autoSpaceDE w:val="0"/>
        <w:autoSpaceDN w:val="0"/>
        <w:adjustRightInd w:val="0"/>
        <w:spacing w:line="240" w:lineRule="atLeast"/>
        <w:rPr>
          <w:rFonts w:ascii="Arial" w:hAnsi="Arial"/>
          <w:b/>
          <w:bCs/>
          <w:sz w:val="20"/>
          <w:szCs w:val="20"/>
        </w:rPr>
      </w:pPr>
    </w:p>
    <w:p w:rsidR="00F56710" w:rsidRDefault="00F56710" w:rsidP="008C0F21">
      <w:pPr>
        <w:widowControl w:val="0"/>
        <w:autoSpaceDE w:val="0"/>
        <w:autoSpaceDN w:val="0"/>
        <w:adjustRightInd w:val="0"/>
        <w:spacing w:line="240" w:lineRule="atLeast"/>
        <w:rPr>
          <w:rFonts w:ascii="Arial" w:hAnsi="Arial"/>
          <w:b/>
          <w:bCs/>
          <w:sz w:val="20"/>
          <w:szCs w:val="20"/>
        </w:rPr>
      </w:pPr>
    </w:p>
    <w:p w:rsidR="001B4C46" w:rsidRDefault="001B4C46" w:rsidP="008C0F21">
      <w:pPr>
        <w:widowControl w:val="0"/>
        <w:autoSpaceDE w:val="0"/>
        <w:autoSpaceDN w:val="0"/>
        <w:adjustRightInd w:val="0"/>
        <w:spacing w:line="240" w:lineRule="atLeast"/>
        <w:rPr>
          <w:rFonts w:ascii="Arial" w:hAnsi="Arial"/>
          <w:b/>
          <w:bCs/>
          <w:sz w:val="20"/>
          <w:szCs w:val="20"/>
        </w:rPr>
      </w:pPr>
    </w:p>
    <w:p w:rsidR="001B4C46" w:rsidRDefault="001B4C46" w:rsidP="008C0F21">
      <w:pPr>
        <w:widowControl w:val="0"/>
        <w:autoSpaceDE w:val="0"/>
        <w:autoSpaceDN w:val="0"/>
        <w:adjustRightInd w:val="0"/>
        <w:spacing w:line="240" w:lineRule="atLeast"/>
        <w:rPr>
          <w:rFonts w:ascii="Arial" w:hAnsi="Arial"/>
          <w:b/>
          <w:bCs/>
          <w:sz w:val="20"/>
          <w:szCs w:val="20"/>
        </w:rPr>
      </w:pPr>
    </w:p>
    <w:p w:rsidR="00854813" w:rsidRDefault="00854813" w:rsidP="008C0F21">
      <w:pPr>
        <w:widowControl w:val="0"/>
        <w:autoSpaceDE w:val="0"/>
        <w:autoSpaceDN w:val="0"/>
        <w:adjustRightInd w:val="0"/>
        <w:spacing w:line="240" w:lineRule="atLeast"/>
        <w:rPr>
          <w:rFonts w:ascii="Arial" w:hAnsi="Arial"/>
          <w:b/>
          <w:bCs/>
          <w:sz w:val="20"/>
          <w:szCs w:val="20"/>
        </w:rPr>
      </w:pPr>
    </w:p>
    <w:p w:rsidR="00854813" w:rsidRDefault="00854813" w:rsidP="008C0F21">
      <w:pPr>
        <w:widowControl w:val="0"/>
        <w:autoSpaceDE w:val="0"/>
        <w:autoSpaceDN w:val="0"/>
        <w:adjustRightInd w:val="0"/>
        <w:spacing w:line="240" w:lineRule="atLeast"/>
        <w:rPr>
          <w:rFonts w:ascii="Arial" w:hAnsi="Arial"/>
          <w:b/>
          <w:bCs/>
          <w:sz w:val="20"/>
          <w:szCs w:val="20"/>
        </w:rPr>
      </w:pPr>
    </w:p>
    <w:p w:rsidR="00854813" w:rsidRDefault="00854813" w:rsidP="008C0F21">
      <w:pPr>
        <w:widowControl w:val="0"/>
        <w:autoSpaceDE w:val="0"/>
        <w:autoSpaceDN w:val="0"/>
        <w:adjustRightInd w:val="0"/>
        <w:spacing w:line="240" w:lineRule="atLeast"/>
        <w:rPr>
          <w:rFonts w:ascii="Arial" w:hAnsi="Arial"/>
          <w:b/>
          <w:bCs/>
          <w:sz w:val="20"/>
          <w:szCs w:val="20"/>
        </w:rPr>
      </w:pPr>
    </w:p>
    <w:p w:rsidR="001B4C46" w:rsidRDefault="001B4C46" w:rsidP="008C0F21">
      <w:pPr>
        <w:widowControl w:val="0"/>
        <w:autoSpaceDE w:val="0"/>
        <w:autoSpaceDN w:val="0"/>
        <w:adjustRightInd w:val="0"/>
        <w:spacing w:line="240" w:lineRule="atLeast"/>
        <w:rPr>
          <w:rFonts w:ascii="Arial" w:hAnsi="Arial"/>
          <w:b/>
          <w:bCs/>
          <w:sz w:val="20"/>
          <w:szCs w:val="20"/>
        </w:rPr>
      </w:pPr>
    </w:p>
    <w:p w:rsidR="00A84F07" w:rsidRDefault="00A84F07" w:rsidP="008C0F21">
      <w:pPr>
        <w:widowControl w:val="0"/>
        <w:autoSpaceDE w:val="0"/>
        <w:autoSpaceDN w:val="0"/>
        <w:adjustRightInd w:val="0"/>
        <w:spacing w:line="240" w:lineRule="atLeast"/>
        <w:rPr>
          <w:rFonts w:ascii="Arial" w:hAnsi="Arial"/>
          <w:b/>
          <w:bCs/>
          <w:sz w:val="20"/>
          <w:szCs w:val="20"/>
        </w:rPr>
      </w:pPr>
    </w:p>
    <w:p w:rsidR="008C0F21" w:rsidRDefault="008C0F21" w:rsidP="008C0F21">
      <w:pPr>
        <w:widowControl w:val="0"/>
        <w:autoSpaceDE w:val="0"/>
        <w:autoSpaceDN w:val="0"/>
        <w:adjustRightInd w:val="0"/>
        <w:spacing w:line="240" w:lineRule="atLeast"/>
        <w:rPr>
          <w:rFonts w:ascii="Arial" w:hAnsi="Arial"/>
          <w:b/>
          <w:bCs/>
          <w:sz w:val="20"/>
          <w:szCs w:val="20"/>
        </w:rPr>
      </w:pPr>
      <w:r>
        <w:rPr>
          <w:rFonts w:ascii="Arial" w:hAnsi="Arial"/>
          <w:b/>
          <w:bCs/>
          <w:sz w:val="20"/>
          <w:szCs w:val="20"/>
        </w:rPr>
        <w:lastRenderedPageBreak/>
        <w:t>AYUNTAMIENTO DE__________________________</w:t>
      </w:r>
    </w:p>
    <w:p w:rsidR="008C0F21" w:rsidRDefault="008C0F21" w:rsidP="008C0F21">
      <w:pPr>
        <w:widowControl w:val="0"/>
        <w:autoSpaceDE w:val="0"/>
        <w:autoSpaceDN w:val="0"/>
        <w:adjustRightInd w:val="0"/>
        <w:spacing w:line="240" w:lineRule="atLeast"/>
        <w:rPr>
          <w:rFonts w:ascii="Arial" w:hAnsi="Arial"/>
          <w:b/>
          <w:bCs/>
          <w:sz w:val="20"/>
          <w:szCs w:val="20"/>
        </w:rPr>
      </w:pPr>
    </w:p>
    <w:p w:rsidR="008C0F21" w:rsidRDefault="008C0F21" w:rsidP="008C0F21">
      <w:pPr>
        <w:widowControl w:val="0"/>
        <w:autoSpaceDE w:val="0"/>
        <w:autoSpaceDN w:val="0"/>
        <w:adjustRightInd w:val="0"/>
        <w:spacing w:line="240" w:lineRule="atLeast"/>
        <w:rPr>
          <w:rFonts w:ascii="Arial" w:hAnsi="Arial"/>
          <w:b/>
          <w:bCs/>
          <w:sz w:val="20"/>
          <w:szCs w:val="20"/>
        </w:rPr>
      </w:pPr>
      <w:r>
        <w:rPr>
          <w:rFonts w:ascii="Arial" w:hAnsi="Arial"/>
          <w:b/>
          <w:bCs/>
          <w:sz w:val="20"/>
          <w:szCs w:val="20"/>
        </w:rPr>
        <w:t>(PALENCIA)</w:t>
      </w:r>
    </w:p>
    <w:p w:rsidR="008C0F21" w:rsidRDefault="008C0F21" w:rsidP="008C0F21">
      <w:pPr>
        <w:widowControl w:val="0"/>
        <w:autoSpaceDE w:val="0"/>
        <w:autoSpaceDN w:val="0"/>
        <w:adjustRightInd w:val="0"/>
        <w:spacing w:line="240" w:lineRule="atLeast"/>
        <w:rPr>
          <w:rFonts w:ascii="Arial" w:hAnsi="Arial"/>
          <w:sz w:val="20"/>
          <w:szCs w:val="20"/>
        </w:rPr>
      </w:pPr>
    </w:p>
    <w:p w:rsidR="008C0F21" w:rsidRDefault="008C0F21" w:rsidP="008C0F21">
      <w:pPr>
        <w:widowControl w:val="0"/>
        <w:autoSpaceDE w:val="0"/>
        <w:autoSpaceDN w:val="0"/>
        <w:adjustRightInd w:val="0"/>
        <w:spacing w:line="240" w:lineRule="atLeast"/>
        <w:rPr>
          <w:rFonts w:ascii="Arial" w:hAnsi="Arial"/>
          <w:sz w:val="20"/>
          <w:szCs w:val="20"/>
        </w:rPr>
      </w:pPr>
    </w:p>
    <w:p w:rsidR="008C0F21" w:rsidRPr="00EA32D0" w:rsidRDefault="008C0F21" w:rsidP="008C0F21">
      <w:pPr>
        <w:widowControl w:val="0"/>
        <w:autoSpaceDE w:val="0"/>
        <w:autoSpaceDN w:val="0"/>
        <w:adjustRightInd w:val="0"/>
        <w:spacing w:line="240" w:lineRule="atLeast"/>
        <w:jc w:val="center"/>
        <w:rPr>
          <w:rFonts w:ascii="Arial" w:hAnsi="Arial" w:cs="Arial"/>
          <w:b/>
          <w:bCs/>
          <w:sz w:val="22"/>
          <w:szCs w:val="22"/>
          <w:u w:val="single"/>
        </w:rPr>
      </w:pPr>
      <w:r w:rsidRPr="00EA32D0">
        <w:rPr>
          <w:rFonts w:ascii="Arial" w:hAnsi="Arial" w:cs="Arial"/>
          <w:b/>
          <w:bCs/>
          <w:sz w:val="22"/>
          <w:szCs w:val="22"/>
          <w:u w:val="single"/>
        </w:rPr>
        <w:t>INFORME DEL/LA  SECRETARIO/A-INTERVENTOR/A</w:t>
      </w:r>
      <w:r w:rsidR="00854813">
        <w:rPr>
          <w:rFonts w:ascii="Arial" w:hAnsi="Arial" w:cs="Arial"/>
          <w:b/>
          <w:bCs/>
          <w:sz w:val="22"/>
          <w:szCs w:val="22"/>
          <w:u w:val="single"/>
        </w:rPr>
        <w:t xml:space="preserve"> o EL/LA INTERVENTOR/A</w:t>
      </w:r>
    </w:p>
    <w:p w:rsidR="008C0F21" w:rsidRPr="00EA32D0" w:rsidRDefault="008C0F21" w:rsidP="008C0F21">
      <w:pPr>
        <w:widowControl w:val="0"/>
        <w:autoSpaceDE w:val="0"/>
        <w:autoSpaceDN w:val="0"/>
        <w:adjustRightInd w:val="0"/>
        <w:spacing w:line="240" w:lineRule="atLeast"/>
        <w:jc w:val="both"/>
        <w:rPr>
          <w:rFonts w:ascii="Arial" w:hAnsi="Arial" w:cs="Arial"/>
          <w:sz w:val="22"/>
          <w:szCs w:val="22"/>
        </w:rPr>
      </w:pPr>
    </w:p>
    <w:p w:rsidR="00854813" w:rsidRDefault="008C0F21" w:rsidP="008C0F21">
      <w:pPr>
        <w:widowControl w:val="0"/>
        <w:autoSpaceDE w:val="0"/>
        <w:autoSpaceDN w:val="0"/>
        <w:adjustRightInd w:val="0"/>
        <w:spacing w:line="240" w:lineRule="atLeast"/>
        <w:jc w:val="both"/>
        <w:rPr>
          <w:rFonts w:ascii="Arial" w:hAnsi="Arial" w:cs="Arial"/>
          <w:sz w:val="22"/>
          <w:szCs w:val="22"/>
        </w:rPr>
      </w:pPr>
      <w:r w:rsidRPr="00EA32D0">
        <w:rPr>
          <w:rFonts w:ascii="Arial" w:hAnsi="Arial" w:cs="Arial"/>
          <w:sz w:val="22"/>
          <w:szCs w:val="22"/>
        </w:rPr>
        <w:tab/>
      </w:r>
    </w:p>
    <w:p w:rsidR="00854813" w:rsidRDefault="00854813" w:rsidP="008C0F21">
      <w:pPr>
        <w:widowControl w:val="0"/>
        <w:autoSpaceDE w:val="0"/>
        <w:autoSpaceDN w:val="0"/>
        <w:adjustRightInd w:val="0"/>
        <w:spacing w:line="240" w:lineRule="atLeast"/>
        <w:jc w:val="both"/>
        <w:rPr>
          <w:rFonts w:ascii="Arial" w:hAnsi="Arial" w:cs="Arial"/>
          <w:sz w:val="22"/>
          <w:szCs w:val="22"/>
        </w:rPr>
      </w:pPr>
    </w:p>
    <w:p w:rsidR="00854813" w:rsidRPr="000F4F48" w:rsidRDefault="008C0F21" w:rsidP="00854813">
      <w:pPr>
        <w:widowControl w:val="0"/>
        <w:autoSpaceDE w:val="0"/>
        <w:autoSpaceDN w:val="0"/>
        <w:adjustRightInd w:val="0"/>
        <w:spacing w:line="240" w:lineRule="atLeast"/>
        <w:jc w:val="both"/>
        <w:rPr>
          <w:rFonts w:ascii="Arial" w:hAnsi="Arial" w:cs="Arial"/>
          <w:sz w:val="22"/>
          <w:szCs w:val="22"/>
        </w:rPr>
      </w:pPr>
      <w:r w:rsidRPr="00DC66A5">
        <w:rPr>
          <w:rFonts w:ascii="Arial" w:hAnsi="Arial" w:cs="Arial"/>
          <w:sz w:val="22"/>
          <w:szCs w:val="22"/>
        </w:rPr>
        <w:t>D</w:t>
      </w:r>
      <w:r w:rsidR="00854813">
        <w:rPr>
          <w:rFonts w:ascii="Arial" w:hAnsi="Arial" w:cs="Arial"/>
          <w:sz w:val="22"/>
          <w:szCs w:val="22"/>
        </w:rPr>
        <w:t>./Dª.</w:t>
      </w:r>
      <w:r w:rsidRPr="00DC66A5">
        <w:rPr>
          <w:rFonts w:ascii="Arial" w:hAnsi="Arial" w:cs="Arial"/>
          <w:sz w:val="22"/>
          <w:szCs w:val="22"/>
        </w:rPr>
        <w:t xml:space="preserve"> ______________________________ Secretario</w:t>
      </w:r>
      <w:r w:rsidR="00854813">
        <w:rPr>
          <w:rFonts w:ascii="Arial" w:hAnsi="Arial" w:cs="Arial"/>
          <w:sz w:val="22"/>
          <w:szCs w:val="22"/>
        </w:rPr>
        <w:t>/a</w:t>
      </w:r>
      <w:r w:rsidRPr="00DC66A5">
        <w:rPr>
          <w:rFonts w:ascii="Arial" w:hAnsi="Arial" w:cs="Arial"/>
          <w:sz w:val="22"/>
          <w:szCs w:val="22"/>
        </w:rPr>
        <w:t>-Interventor</w:t>
      </w:r>
      <w:r w:rsidR="00854813">
        <w:rPr>
          <w:rFonts w:ascii="Arial" w:hAnsi="Arial" w:cs="Arial"/>
          <w:sz w:val="22"/>
          <w:szCs w:val="22"/>
        </w:rPr>
        <w:t xml:space="preserve">a o Interventor/a </w:t>
      </w:r>
      <w:r w:rsidRPr="00DC66A5">
        <w:rPr>
          <w:rFonts w:ascii="Arial" w:hAnsi="Arial" w:cs="Arial"/>
          <w:sz w:val="22"/>
          <w:szCs w:val="22"/>
        </w:rPr>
        <w:t>del Ayuntamiento de ____________________________</w:t>
      </w:r>
      <w:r w:rsidR="00854813">
        <w:rPr>
          <w:rFonts w:ascii="Arial" w:hAnsi="Arial" w:cs="Arial"/>
          <w:sz w:val="22"/>
          <w:szCs w:val="22"/>
        </w:rPr>
        <w:t>, e</w:t>
      </w:r>
      <w:r w:rsidR="00854813" w:rsidRPr="000F4F48">
        <w:rPr>
          <w:rFonts w:ascii="Arial" w:hAnsi="Arial" w:cs="Arial"/>
          <w:sz w:val="22"/>
          <w:szCs w:val="22"/>
        </w:rPr>
        <w:t xml:space="preserve">n cumplimiento de lo previsto en el artículo 191.3 del Real Decreto Legislativo 2/2004, de 5 de marzo, por el que se aprueba el Texto Refundido de la Ley Reguladora de las Haciendas Locales, en concordancia con el artículo 90.1 del Real Decreto 500/1990, </w:t>
      </w:r>
      <w:r w:rsidR="00854813" w:rsidRPr="000F4F48">
        <w:rPr>
          <w:rFonts w:ascii="Arial" w:hAnsi="Arial" w:cs="Arial"/>
          <w:snapToGrid w:val="0"/>
          <w:sz w:val="22"/>
          <w:szCs w:val="22"/>
        </w:rPr>
        <w:t>de 20 de abril,</w:t>
      </w:r>
      <w:r w:rsidR="00854813" w:rsidRPr="000F4F48">
        <w:rPr>
          <w:rFonts w:ascii="Arial" w:hAnsi="Arial" w:cs="Arial"/>
          <w:sz w:val="22"/>
          <w:szCs w:val="22"/>
        </w:rPr>
        <w:t xml:space="preserve"> por el que se desarrolla el Capítulo I del Título VI de la Ley 39/1988, de 28 de diciembre, Reguladora de las Haciendas Locales, en materia de presupuestos, y de conformidad con el artículo 214 del citado T</w:t>
      </w:r>
      <w:r w:rsidR="00854813">
        <w:rPr>
          <w:rFonts w:ascii="Arial" w:hAnsi="Arial" w:cs="Arial"/>
          <w:sz w:val="22"/>
          <w:szCs w:val="22"/>
        </w:rPr>
        <w:t>exto Refundido</w:t>
      </w:r>
      <w:r w:rsidR="00854813" w:rsidRPr="000F4F48">
        <w:rPr>
          <w:rFonts w:ascii="Arial" w:hAnsi="Arial" w:cs="Arial"/>
          <w:sz w:val="22"/>
          <w:szCs w:val="22"/>
        </w:rPr>
        <w:t>, se emite el siguiente</w:t>
      </w:r>
    </w:p>
    <w:p w:rsidR="008C0F21" w:rsidRPr="00DC66A5" w:rsidRDefault="008C0F21" w:rsidP="008C0F21">
      <w:pPr>
        <w:widowControl w:val="0"/>
        <w:autoSpaceDE w:val="0"/>
        <w:autoSpaceDN w:val="0"/>
        <w:adjustRightInd w:val="0"/>
        <w:spacing w:line="240" w:lineRule="atLeast"/>
        <w:jc w:val="both"/>
        <w:rPr>
          <w:rFonts w:ascii="Arial" w:hAnsi="Arial" w:cs="Arial"/>
          <w:sz w:val="22"/>
          <w:szCs w:val="22"/>
        </w:rPr>
      </w:pPr>
    </w:p>
    <w:p w:rsidR="008C0F21" w:rsidRPr="00854813" w:rsidRDefault="008C0F21" w:rsidP="00A84F07">
      <w:pPr>
        <w:widowControl w:val="0"/>
        <w:autoSpaceDE w:val="0"/>
        <w:autoSpaceDN w:val="0"/>
        <w:adjustRightInd w:val="0"/>
        <w:spacing w:after="160"/>
        <w:jc w:val="center"/>
        <w:rPr>
          <w:rFonts w:ascii="Arial" w:hAnsi="Arial" w:cs="Arial"/>
          <w:b/>
          <w:sz w:val="22"/>
          <w:szCs w:val="22"/>
        </w:rPr>
      </w:pPr>
      <w:r w:rsidRPr="00854813">
        <w:rPr>
          <w:rFonts w:ascii="Arial" w:hAnsi="Arial" w:cs="Arial"/>
          <w:b/>
          <w:sz w:val="22"/>
          <w:szCs w:val="22"/>
        </w:rPr>
        <w:t>INFORME</w:t>
      </w:r>
    </w:p>
    <w:p w:rsidR="008C0F21" w:rsidRPr="00DC66A5" w:rsidRDefault="008C0F21" w:rsidP="00854813">
      <w:pPr>
        <w:widowControl w:val="0"/>
        <w:autoSpaceDE w:val="0"/>
        <w:autoSpaceDN w:val="0"/>
        <w:adjustRightInd w:val="0"/>
        <w:spacing w:after="160"/>
        <w:ind w:firstLine="357"/>
        <w:rPr>
          <w:rFonts w:ascii="Arial" w:hAnsi="Arial" w:cs="Arial"/>
          <w:sz w:val="22"/>
          <w:szCs w:val="22"/>
        </w:rPr>
      </w:pPr>
      <w:r w:rsidRPr="00AC5733">
        <w:rPr>
          <w:rFonts w:ascii="Arial" w:hAnsi="Arial" w:cs="Arial"/>
          <w:b/>
          <w:sz w:val="22"/>
          <w:szCs w:val="22"/>
        </w:rPr>
        <w:t>PRIMERO</w:t>
      </w:r>
      <w:r w:rsidRPr="00DC66A5">
        <w:rPr>
          <w:rFonts w:ascii="Arial" w:hAnsi="Arial" w:cs="Arial"/>
          <w:sz w:val="22"/>
          <w:szCs w:val="22"/>
        </w:rPr>
        <w:t xml:space="preserve">. </w:t>
      </w:r>
      <w:r w:rsidR="008D6CF5">
        <w:rPr>
          <w:rFonts w:ascii="Arial" w:hAnsi="Arial" w:cs="Arial"/>
          <w:sz w:val="22"/>
          <w:szCs w:val="22"/>
        </w:rPr>
        <w:t xml:space="preserve">La legislación aplicable viene esencialmente </w:t>
      </w:r>
      <w:r w:rsidRPr="00DC66A5">
        <w:rPr>
          <w:rFonts w:ascii="Arial" w:hAnsi="Arial" w:cs="Arial"/>
          <w:sz w:val="22"/>
          <w:szCs w:val="22"/>
        </w:rPr>
        <w:t>establecida en:</w:t>
      </w:r>
    </w:p>
    <w:p w:rsidR="008C0F21" w:rsidRPr="00DC66A5" w:rsidRDefault="008C0F21" w:rsidP="00854813">
      <w:pPr>
        <w:widowControl w:val="0"/>
        <w:numPr>
          <w:ilvl w:val="0"/>
          <w:numId w:val="1"/>
        </w:numPr>
        <w:autoSpaceDE w:val="0"/>
        <w:autoSpaceDN w:val="0"/>
        <w:adjustRightInd w:val="0"/>
        <w:spacing w:after="120"/>
        <w:ind w:left="714" w:hanging="357"/>
        <w:jc w:val="both"/>
        <w:rPr>
          <w:rFonts w:ascii="Arial" w:hAnsi="Arial" w:cs="Arial"/>
          <w:sz w:val="22"/>
          <w:szCs w:val="22"/>
        </w:rPr>
      </w:pPr>
      <w:r w:rsidRPr="00DC66A5">
        <w:rPr>
          <w:rFonts w:ascii="Arial" w:hAnsi="Arial" w:cs="Arial"/>
          <w:sz w:val="22"/>
          <w:szCs w:val="22"/>
        </w:rPr>
        <w:t xml:space="preserve">Artículos </w:t>
      </w:r>
      <w:smartTag w:uri="urn:schemas-microsoft-com:office:smarttags" w:element="metricconverter">
        <w:smartTagPr>
          <w:attr w:name="ProductID" w:val="191 a"/>
        </w:smartTagPr>
        <w:r w:rsidRPr="00DC66A5">
          <w:rPr>
            <w:rFonts w:ascii="Arial" w:hAnsi="Arial" w:cs="Arial"/>
            <w:sz w:val="22"/>
            <w:szCs w:val="22"/>
          </w:rPr>
          <w:t>191 a</w:t>
        </w:r>
      </w:smartTag>
      <w:r w:rsidRPr="00DC66A5">
        <w:rPr>
          <w:rFonts w:ascii="Arial" w:hAnsi="Arial" w:cs="Arial"/>
          <w:sz w:val="22"/>
          <w:szCs w:val="22"/>
        </w:rPr>
        <w:t xml:space="preserve"> 193 bis del Real Decreto Legislativo 2/2004, de 5 de marzo, por el que se aprueba el Texto Refundido de la Ley Reguladora de las Haciendas Locales</w:t>
      </w:r>
      <w:r w:rsidR="00854813">
        <w:rPr>
          <w:rFonts w:ascii="Arial" w:hAnsi="Arial" w:cs="Arial"/>
          <w:sz w:val="22"/>
          <w:szCs w:val="22"/>
        </w:rPr>
        <w:t xml:space="preserve"> (TRLRHL).</w:t>
      </w:r>
    </w:p>
    <w:p w:rsidR="008C0F21" w:rsidRPr="00DC66A5" w:rsidRDefault="008C0F21" w:rsidP="00854813">
      <w:pPr>
        <w:widowControl w:val="0"/>
        <w:numPr>
          <w:ilvl w:val="0"/>
          <w:numId w:val="1"/>
        </w:numPr>
        <w:autoSpaceDE w:val="0"/>
        <w:autoSpaceDN w:val="0"/>
        <w:adjustRightInd w:val="0"/>
        <w:spacing w:after="120"/>
        <w:ind w:left="714" w:hanging="357"/>
        <w:jc w:val="both"/>
        <w:rPr>
          <w:rFonts w:ascii="Arial" w:hAnsi="Arial" w:cs="Arial"/>
          <w:sz w:val="22"/>
          <w:szCs w:val="22"/>
        </w:rPr>
      </w:pPr>
      <w:r w:rsidRPr="00DC66A5">
        <w:rPr>
          <w:rFonts w:ascii="Arial" w:hAnsi="Arial" w:cs="Arial"/>
          <w:sz w:val="22"/>
          <w:szCs w:val="22"/>
        </w:rPr>
        <w:t xml:space="preserve">Artículos </w:t>
      </w:r>
      <w:smartTag w:uri="urn:schemas-microsoft-com:office:smarttags" w:element="metricconverter">
        <w:smartTagPr>
          <w:attr w:name="ProductID" w:val="89 a"/>
        </w:smartTagPr>
        <w:r w:rsidRPr="00DC66A5">
          <w:rPr>
            <w:rFonts w:ascii="Arial" w:hAnsi="Arial" w:cs="Arial"/>
            <w:sz w:val="22"/>
            <w:szCs w:val="22"/>
          </w:rPr>
          <w:t>89 a</w:t>
        </w:r>
      </w:smartTag>
      <w:r w:rsidRPr="00DC66A5">
        <w:rPr>
          <w:rFonts w:ascii="Arial" w:hAnsi="Arial" w:cs="Arial"/>
          <w:sz w:val="22"/>
          <w:szCs w:val="22"/>
        </w:rPr>
        <w:t xml:space="preserve"> 105 del Real Decreto 500/1990, del 20 de abril</w:t>
      </w:r>
      <w:r w:rsidR="00854813">
        <w:rPr>
          <w:rFonts w:ascii="Arial" w:hAnsi="Arial" w:cs="Arial"/>
          <w:sz w:val="22"/>
          <w:szCs w:val="22"/>
        </w:rPr>
        <w:t xml:space="preserve"> (RD 500/1990).</w:t>
      </w:r>
    </w:p>
    <w:p w:rsidR="008C0F21" w:rsidRPr="00F248A8" w:rsidRDefault="008C0F21" w:rsidP="00854813">
      <w:pPr>
        <w:widowControl w:val="0"/>
        <w:numPr>
          <w:ilvl w:val="0"/>
          <w:numId w:val="1"/>
        </w:numPr>
        <w:autoSpaceDE w:val="0"/>
        <w:autoSpaceDN w:val="0"/>
        <w:adjustRightInd w:val="0"/>
        <w:spacing w:after="120"/>
        <w:ind w:left="714" w:hanging="357"/>
        <w:jc w:val="both"/>
        <w:rPr>
          <w:rFonts w:ascii="Arial" w:hAnsi="Arial" w:cs="Arial"/>
          <w:sz w:val="22"/>
          <w:szCs w:val="22"/>
        </w:rPr>
      </w:pPr>
      <w:r w:rsidRPr="00DC66A5">
        <w:rPr>
          <w:rFonts w:ascii="Arial" w:hAnsi="Arial" w:cs="Arial"/>
          <w:sz w:val="22"/>
          <w:szCs w:val="22"/>
        </w:rPr>
        <w:t xml:space="preserve">Ley Orgánica 2/2012, de 27 de abril, de </w:t>
      </w:r>
      <w:r w:rsidR="002137C3">
        <w:rPr>
          <w:rFonts w:ascii="Arial" w:hAnsi="Arial" w:cs="Arial"/>
          <w:sz w:val="22"/>
          <w:szCs w:val="22"/>
        </w:rPr>
        <w:t>Estabilidad Presupuestaria</w:t>
      </w:r>
      <w:r w:rsidRPr="00DC66A5">
        <w:rPr>
          <w:rFonts w:ascii="Arial" w:hAnsi="Arial" w:cs="Arial"/>
          <w:sz w:val="22"/>
          <w:szCs w:val="22"/>
        </w:rPr>
        <w:t xml:space="preserve"> y </w:t>
      </w:r>
      <w:r w:rsidRPr="00F248A8">
        <w:rPr>
          <w:rFonts w:ascii="Arial" w:hAnsi="Arial" w:cs="Arial"/>
          <w:sz w:val="22"/>
          <w:szCs w:val="22"/>
        </w:rPr>
        <w:t>Sostenibilidad Financiera</w:t>
      </w:r>
      <w:r w:rsidR="00854813">
        <w:rPr>
          <w:rFonts w:ascii="Arial" w:hAnsi="Arial" w:cs="Arial"/>
          <w:sz w:val="22"/>
          <w:szCs w:val="22"/>
        </w:rPr>
        <w:t xml:space="preserve"> (LOEPSF).</w:t>
      </w:r>
    </w:p>
    <w:p w:rsidR="008C0F21" w:rsidRPr="00F248A8" w:rsidRDefault="008C0F21" w:rsidP="00854813">
      <w:pPr>
        <w:pStyle w:val="Ttulo3"/>
        <w:numPr>
          <w:ilvl w:val="0"/>
          <w:numId w:val="1"/>
        </w:numPr>
        <w:shd w:val="clear" w:color="auto" w:fill="FFFFFF"/>
        <w:spacing w:before="0" w:after="120"/>
        <w:ind w:left="714" w:hanging="357"/>
        <w:jc w:val="both"/>
        <w:rPr>
          <w:rFonts w:ascii="Arial" w:hAnsi="Arial" w:cs="Arial"/>
          <w:b w:val="0"/>
          <w:color w:val="000000"/>
          <w:sz w:val="22"/>
          <w:szCs w:val="22"/>
        </w:rPr>
      </w:pPr>
      <w:r w:rsidRPr="00F248A8">
        <w:rPr>
          <w:rFonts w:ascii="Arial" w:hAnsi="Arial" w:cs="Arial"/>
          <w:b w:val="0"/>
          <w:color w:val="000000"/>
          <w:sz w:val="22"/>
          <w:szCs w:val="22"/>
        </w:rPr>
        <w:t xml:space="preserve">Real Decreto 1463/2007, de 2 de noviembre, por el que se aprueba el reglamento de desarrollo de la Ley 18/2001, de 12 de diciembre, de </w:t>
      </w:r>
      <w:r w:rsidR="002137C3">
        <w:rPr>
          <w:rFonts w:ascii="Arial" w:hAnsi="Arial" w:cs="Arial"/>
          <w:b w:val="0"/>
          <w:color w:val="000000"/>
          <w:sz w:val="22"/>
          <w:szCs w:val="22"/>
        </w:rPr>
        <w:t>Estabilidad Presupuestaria</w:t>
      </w:r>
      <w:r w:rsidRPr="00F248A8">
        <w:rPr>
          <w:rFonts w:ascii="Arial" w:hAnsi="Arial" w:cs="Arial"/>
          <w:b w:val="0"/>
          <w:color w:val="000000"/>
          <w:sz w:val="22"/>
          <w:szCs w:val="22"/>
        </w:rPr>
        <w:t>, en su aplicación a las entidades locales</w:t>
      </w:r>
      <w:r w:rsidR="00854813">
        <w:rPr>
          <w:rFonts w:ascii="Arial" w:hAnsi="Arial" w:cs="Arial"/>
          <w:b w:val="0"/>
          <w:color w:val="000000"/>
          <w:sz w:val="22"/>
          <w:szCs w:val="22"/>
        </w:rPr>
        <w:t xml:space="preserve"> (RLEP).</w:t>
      </w:r>
    </w:p>
    <w:p w:rsidR="008C0F21" w:rsidRPr="00F248A8" w:rsidRDefault="008C0F21" w:rsidP="00A84F07">
      <w:pPr>
        <w:widowControl w:val="0"/>
        <w:numPr>
          <w:ilvl w:val="0"/>
          <w:numId w:val="1"/>
        </w:numPr>
        <w:autoSpaceDE w:val="0"/>
        <w:autoSpaceDN w:val="0"/>
        <w:adjustRightInd w:val="0"/>
        <w:spacing w:after="160"/>
        <w:ind w:left="714" w:hanging="357"/>
        <w:jc w:val="both"/>
        <w:rPr>
          <w:rFonts w:ascii="Arial" w:hAnsi="Arial" w:cs="Arial"/>
          <w:sz w:val="22"/>
          <w:szCs w:val="22"/>
        </w:rPr>
      </w:pPr>
      <w:r w:rsidRPr="00F248A8">
        <w:rPr>
          <w:rFonts w:ascii="Arial" w:hAnsi="Arial" w:cs="Arial"/>
          <w:sz w:val="22"/>
          <w:szCs w:val="22"/>
        </w:rPr>
        <w:t>Inst</w:t>
      </w:r>
      <w:r w:rsidRPr="00DC66A5">
        <w:rPr>
          <w:rFonts w:ascii="Arial" w:hAnsi="Arial" w:cs="Arial"/>
          <w:sz w:val="22"/>
          <w:szCs w:val="22"/>
        </w:rPr>
        <w:t>rucción de contabilidad para la administración local, modelo normal, aprobada por orden</w:t>
      </w:r>
      <w:r w:rsidR="003B1430" w:rsidRPr="00DC66A5">
        <w:rPr>
          <w:rFonts w:ascii="Arial" w:hAnsi="Arial" w:cs="Arial"/>
          <w:sz w:val="22"/>
          <w:szCs w:val="22"/>
        </w:rPr>
        <w:t xml:space="preserve"> HAP/1781/2013, de 20 de septiembre</w:t>
      </w:r>
      <w:r w:rsidR="003B1430" w:rsidRPr="00F248A8">
        <w:rPr>
          <w:rFonts w:ascii="Arial" w:hAnsi="Arial" w:cs="Arial"/>
          <w:sz w:val="22"/>
          <w:szCs w:val="22"/>
        </w:rPr>
        <w:t>.</w:t>
      </w:r>
      <w:r w:rsidR="0019284C" w:rsidRPr="00F248A8">
        <w:rPr>
          <w:rFonts w:ascii="Arial" w:hAnsi="Arial" w:cs="Arial"/>
          <w:sz w:val="22"/>
          <w:szCs w:val="22"/>
        </w:rPr>
        <w:t xml:space="preserve"> </w:t>
      </w:r>
      <w:r w:rsidR="009628EB" w:rsidRPr="00640E03">
        <w:rPr>
          <w:rFonts w:ascii="Arial" w:hAnsi="Arial" w:cs="Arial"/>
          <w:i/>
          <w:sz w:val="20"/>
          <w:szCs w:val="20"/>
        </w:rPr>
        <w:t>(La</w:t>
      </w:r>
      <w:r w:rsidR="0019284C" w:rsidRPr="00640E03">
        <w:rPr>
          <w:rFonts w:ascii="Arial" w:hAnsi="Arial" w:cs="Arial"/>
          <w:i/>
          <w:sz w:val="20"/>
          <w:szCs w:val="20"/>
          <w:highlight w:val="lightGray"/>
        </w:rPr>
        <w:t xml:space="preserve"> ICAL normal es la que aplica la gran </w:t>
      </w:r>
      <w:r w:rsidR="008A0D77" w:rsidRPr="00640E03">
        <w:rPr>
          <w:rFonts w:ascii="Arial" w:hAnsi="Arial" w:cs="Arial"/>
          <w:i/>
          <w:sz w:val="20"/>
          <w:szCs w:val="20"/>
          <w:highlight w:val="lightGray"/>
        </w:rPr>
        <w:t>mayoría</w:t>
      </w:r>
      <w:r w:rsidR="0019284C" w:rsidRPr="00640E03">
        <w:rPr>
          <w:rFonts w:ascii="Arial" w:hAnsi="Arial" w:cs="Arial"/>
          <w:i/>
          <w:sz w:val="20"/>
          <w:szCs w:val="20"/>
          <w:highlight w:val="lightGray"/>
        </w:rPr>
        <w:t xml:space="preserve"> de la </w:t>
      </w:r>
      <w:r w:rsidR="00F248A8" w:rsidRPr="00640E03">
        <w:rPr>
          <w:rFonts w:ascii="Arial" w:hAnsi="Arial" w:cs="Arial"/>
          <w:i/>
          <w:sz w:val="20"/>
          <w:szCs w:val="20"/>
          <w:highlight w:val="lightGray"/>
        </w:rPr>
        <w:t>Entidades</w:t>
      </w:r>
      <w:r w:rsidR="0019284C" w:rsidRPr="00640E03">
        <w:rPr>
          <w:rFonts w:ascii="Arial" w:hAnsi="Arial" w:cs="Arial"/>
          <w:i/>
          <w:sz w:val="20"/>
          <w:szCs w:val="20"/>
          <w:highlight w:val="lightGray"/>
        </w:rPr>
        <w:t xml:space="preserve"> locales de la provincia. De no ser así </w:t>
      </w:r>
      <w:r w:rsidR="00F248A8" w:rsidRPr="00640E03">
        <w:rPr>
          <w:rFonts w:ascii="Arial" w:hAnsi="Arial" w:cs="Arial"/>
          <w:i/>
          <w:sz w:val="20"/>
          <w:szCs w:val="20"/>
          <w:highlight w:val="lightGray"/>
        </w:rPr>
        <w:t>, indicar la ICAL de aplicación y hacer adaptaciones que sean precisas</w:t>
      </w:r>
      <w:r w:rsidR="00F248A8" w:rsidRPr="00640E03">
        <w:rPr>
          <w:rFonts w:ascii="Arial" w:hAnsi="Arial" w:cs="Arial"/>
          <w:sz w:val="20"/>
          <w:szCs w:val="20"/>
        </w:rPr>
        <w:t>)</w:t>
      </w:r>
      <w:r w:rsidR="0019284C" w:rsidRPr="00F248A8">
        <w:rPr>
          <w:rFonts w:ascii="Arial" w:hAnsi="Arial" w:cs="Arial"/>
          <w:sz w:val="22"/>
          <w:szCs w:val="22"/>
        </w:rPr>
        <w:t xml:space="preserve"> </w:t>
      </w:r>
    </w:p>
    <w:p w:rsidR="008C0F21" w:rsidRPr="00DC66A5" w:rsidRDefault="008C0F21" w:rsidP="00854813">
      <w:pPr>
        <w:pStyle w:val="NormalWeb"/>
        <w:shd w:val="clear" w:color="auto" w:fill="FFFFFF"/>
        <w:spacing w:before="0" w:beforeAutospacing="0" w:after="160" w:afterAutospacing="0"/>
        <w:ind w:firstLine="357"/>
        <w:jc w:val="both"/>
        <w:rPr>
          <w:rFonts w:ascii="Arial" w:hAnsi="Arial" w:cs="Arial"/>
          <w:sz w:val="22"/>
          <w:szCs w:val="22"/>
          <w:shd w:val="clear" w:color="auto" w:fill="FFFFFF"/>
        </w:rPr>
      </w:pPr>
      <w:r w:rsidRPr="00AC5733">
        <w:rPr>
          <w:rFonts w:ascii="Arial" w:hAnsi="Arial" w:cs="Arial"/>
          <w:b/>
          <w:sz w:val="22"/>
          <w:szCs w:val="22"/>
        </w:rPr>
        <w:t>SEGUNDO</w:t>
      </w:r>
      <w:r w:rsidR="00854813">
        <w:rPr>
          <w:rFonts w:ascii="Arial" w:hAnsi="Arial" w:cs="Arial"/>
          <w:b/>
          <w:sz w:val="22"/>
          <w:szCs w:val="22"/>
        </w:rPr>
        <w:t>.</w:t>
      </w:r>
      <w:r w:rsidR="00854813">
        <w:rPr>
          <w:rFonts w:ascii="Arial" w:hAnsi="Arial" w:cs="Arial"/>
          <w:sz w:val="22"/>
          <w:szCs w:val="22"/>
        </w:rPr>
        <w:t xml:space="preserve"> </w:t>
      </w:r>
      <w:r w:rsidRPr="00DC66A5">
        <w:rPr>
          <w:rFonts w:ascii="Arial" w:hAnsi="Arial" w:cs="Arial"/>
          <w:sz w:val="22"/>
          <w:szCs w:val="22"/>
        </w:rPr>
        <w:t xml:space="preserve">El presupuesto de cada ejercicio se liquidará </w:t>
      </w:r>
      <w:r w:rsidRPr="00A01D74">
        <w:rPr>
          <w:rFonts w:ascii="Arial" w:hAnsi="Arial" w:cs="Arial"/>
          <w:sz w:val="22"/>
          <w:szCs w:val="22"/>
        </w:rPr>
        <w:t>en cuanto a la recaudación de derechos y al pago de obligaciones el 31 de diciembre del año natural</w:t>
      </w:r>
      <w:r w:rsidRPr="00DC66A5">
        <w:rPr>
          <w:rFonts w:ascii="Arial" w:hAnsi="Arial" w:cs="Arial"/>
          <w:sz w:val="22"/>
          <w:szCs w:val="22"/>
        </w:rPr>
        <w:t xml:space="preserve"> correspondiente, quedando a cargo de la Tesorería local los ingresos y pagos pendientes, según sus respectivas contracciones.  </w:t>
      </w:r>
      <w:r w:rsidRPr="00DC66A5">
        <w:rPr>
          <w:rFonts w:ascii="Arial" w:hAnsi="Arial" w:cs="Arial"/>
          <w:sz w:val="22"/>
          <w:szCs w:val="22"/>
          <w:shd w:val="clear" w:color="auto" w:fill="FFFFFF"/>
        </w:rPr>
        <w:t>(artículos.</w:t>
      </w:r>
      <w:r w:rsidRPr="00DC66A5">
        <w:rPr>
          <w:rFonts w:ascii="Arial" w:hAnsi="Arial" w:cs="Arial"/>
          <w:snapToGrid w:val="0"/>
          <w:sz w:val="22"/>
          <w:szCs w:val="22"/>
          <w:lang w:val="es-ES_tradnl"/>
        </w:rPr>
        <w:t>191.1 del TRLRHL y 89.1 del Real Decreto 500/1990)</w:t>
      </w:r>
      <w:r w:rsidRPr="00DC66A5">
        <w:rPr>
          <w:rFonts w:ascii="Arial" w:hAnsi="Arial" w:cs="Arial"/>
          <w:sz w:val="22"/>
          <w:szCs w:val="22"/>
          <w:shd w:val="clear" w:color="auto" w:fill="FFFFFF"/>
        </w:rPr>
        <w:t xml:space="preserve">. </w:t>
      </w:r>
    </w:p>
    <w:p w:rsidR="00DC66A5" w:rsidRPr="00DC66A5" w:rsidRDefault="00443E94" w:rsidP="00443E94">
      <w:pPr>
        <w:pStyle w:val="NormalWeb"/>
        <w:shd w:val="clear" w:color="auto" w:fill="FFFFFF"/>
        <w:spacing w:before="0" w:beforeAutospacing="0" w:after="120" w:afterAutospacing="0"/>
        <w:jc w:val="both"/>
        <w:rPr>
          <w:rFonts w:ascii="Arial" w:hAnsi="Arial" w:cs="Arial"/>
          <w:sz w:val="22"/>
          <w:szCs w:val="22"/>
          <w:shd w:val="clear" w:color="auto" w:fill="FFFFFF"/>
        </w:rPr>
      </w:pPr>
      <w:r>
        <w:rPr>
          <w:rFonts w:ascii="Arial" w:hAnsi="Arial" w:cs="Arial"/>
          <w:sz w:val="22"/>
          <w:szCs w:val="22"/>
          <w:shd w:val="clear" w:color="auto" w:fill="FFFFFF"/>
        </w:rPr>
        <w:tab/>
      </w:r>
      <w:r w:rsidR="008C0F21" w:rsidRPr="00DC66A5">
        <w:rPr>
          <w:rFonts w:ascii="Arial" w:hAnsi="Arial" w:cs="Arial"/>
          <w:sz w:val="22"/>
          <w:szCs w:val="22"/>
          <w:shd w:val="clear" w:color="auto" w:fill="FFFFFF"/>
        </w:rPr>
        <w:t>Las obligaciones reconocidas y liquidadas no satisfechas el último día del ejercicio, los derechos pendientes de cobro y los fondos líquidos a 31 de diciembre configurarán el remanente de tesorería de la entidad local. La cuantificación del remanente de tesorería deberá realizarse teniendo en cuenta los posibles ingresos   afectados  y  minorando de acuerdo con lo que reglamentariamente se establezca los derechos pendientes de cobro que se consideren de difícil o imposible recaudación (articulo. 191.2 TRLRHL).</w:t>
      </w:r>
    </w:p>
    <w:p w:rsidR="008C0F21" w:rsidRPr="00DC66A5" w:rsidRDefault="00443E94" w:rsidP="00443E94">
      <w:pPr>
        <w:autoSpaceDE w:val="0"/>
        <w:autoSpaceDN w:val="0"/>
        <w:adjustRightInd w:val="0"/>
        <w:spacing w:after="120"/>
        <w:jc w:val="both"/>
        <w:rPr>
          <w:rFonts w:ascii="Arial" w:eastAsia="Calibri" w:hAnsi="Arial" w:cs="Arial"/>
          <w:sz w:val="22"/>
          <w:szCs w:val="22"/>
        </w:rPr>
      </w:pPr>
      <w:r>
        <w:rPr>
          <w:rFonts w:ascii="Arial" w:eastAsia="Calibri" w:hAnsi="Arial" w:cs="Arial"/>
          <w:sz w:val="22"/>
          <w:szCs w:val="22"/>
        </w:rPr>
        <w:tab/>
      </w:r>
      <w:r w:rsidR="00575639" w:rsidRPr="00DC66A5">
        <w:rPr>
          <w:rFonts w:ascii="Arial" w:eastAsia="Calibri" w:hAnsi="Arial" w:cs="Arial"/>
          <w:sz w:val="22"/>
          <w:szCs w:val="22"/>
        </w:rPr>
        <w:t xml:space="preserve">El cierre y liquidación del Presupuesto de los Organismos Autónomos dependientes de la Entidad  local se ajustará a lo previsto en el artículo 192 </w:t>
      </w:r>
      <w:r w:rsidR="00975E80">
        <w:rPr>
          <w:rFonts w:ascii="Arial" w:eastAsia="Calibri" w:hAnsi="Arial" w:cs="Arial"/>
          <w:sz w:val="22"/>
          <w:szCs w:val="22"/>
        </w:rPr>
        <w:t>TRLRHL</w:t>
      </w:r>
      <w:r w:rsidR="00575639" w:rsidRPr="00DC66A5">
        <w:rPr>
          <w:rFonts w:ascii="Arial" w:eastAsia="Calibri" w:hAnsi="Arial" w:cs="Arial"/>
          <w:sz w:val="22"/>
          <w:szCs w:val="22"/>
        </w:rPr>
        <w:t>.</w:t>
      </w:r>
    </w:p>
    <w:p w:rsidR="003940FC" w:rsidRPr="00443E94" w:rsidRDefault="00443E94" w:rsidP="00443E94">
      <w:pPr>
        <w:pStyle w:val="NormalWeb"/>
        <w:shd w:val="clear" w:color="auto" w:fill="FFFFFF"/>
        <w:spacing w:before="0" w:beforeAutospacing="0" w:after="120" w:afterAutospacing="0"/>
        <w:jc w:val="both"/>
        <w:rPr>
          <w:rFonts w:ascii="Arial" w:hAnsi="Arial" w:cs="Arial"/>
          <w:sz w:val="22"/>
          <w:szCs w:val="22"/>
          <w:shd w:val="clear" w:color="auto" w:fill="FFFFFF"/>
        </w:rPr>
      </w:pPr>
      <w:r>
        <w:rPr>
          <w:rFonts w:ascii="Arial" w:hAnsi="Arial" w:cs="Arial"/>
          <w:sz w:val="22"/>
          <w:szCs w:val="22"/>
        </w:rPr>
        <w:lastRenderedPageBreak/>
        <w:tab/>
      </w:r>
      <w:r w:rsidR="00DF4CBC" w:rsidRPr="00DC66A5">
        <w:rPr>
          <w:rFonts w:ascii="Arial" w:hAnsi="Arial" w:cs="Arial"/>
          <w:sz w:val="22"/>
          <w:szCs w:val="22"/>
        </w:rPr>
        <w:t xml:space="preserve">La confección de los estados demostrativos de la liquidación del Presupuesto </w:t>
      </w:r>
      <w:r w:rsidR="00DF4CBC" w:rsidRPr="005C39B4">
        <w:rPr>
          <w:rFonts w:ascii="Arial" w:hAnsi="Arial" w:cs="Arial"/>
          <w:sz w:val="22"/>
          <w:szCs w:val="22"/>
          <w:u w:val="single"/>
        </w:rPr>
        <w:t xml:space="preserve">deberá realizarse antes del día primero de </w:t>
      </w:r>
      <w:r w:rsidR="00DF4CBC" w:rsidRPr="00A01D74">
        <w:rPr>
          <w:rFonts w:ascii="Arial" w:hAnsi="Arial" w:cs="Arial"/>
          <w:sz w:val="22"/>
          <w:szCs w:val="22"/>
          <w:u w:val="single"/>
        </w:rPr>
        <w:t>marzo del ejercicio siguiente</w:t>
      </w:r>
      <w:r w:rsidR="00DF4CBC" w:rsidRPr="00DC66A5">
        <w:rPr>
          <w:rFonts w:ascii="Arial" w:hAnsi="Arial" w:cs="Arial"/>
          <w:sz w:val="22"/>
          <w:szCs w:val="22"/>
        </w:rPr>
        <w:t xml:space="preserve"> </w:t>
      </w:r>
      <w:r w:rsidR="004E50CA">
        <w:rPr>
          <w:rFonts w:ascii="Arial" w:hAnsi="Arial" w:cs="Arial"/>
          <w:sz w:val="22"/>
          <w:szCs w:val="22"/>
          <w:shd w:val="clear" w:color="auto" w:fill="FFFFFF"/>
        </w:rPr>
        <w:t xml:space="preserve"> (artículos </w:t>
      </w:r>
      <w:r w:rsidR="008C0F21" w:rsidRPr="00DC66A5">
        <w:rPr>
          <w:rFonts w:ascii="Arial" w:hAnsi="Arial" w:cs="Arial"/>
          <w:sz w:val="22"/>
          <w:szCs w:val="22"/>
          <w:shd w:val="clear" w:color="auto" w:fill="FFFFFF"/>
        </w:rPr>
        <w:t xml:space="preserve">191.3 del TRLRHL y </w:t>
      </w:r>
      <w:r w:rsidR="008C0F21" w:rsidRPr="00DC66A5">
        <w:rPr>
          <w:rFonts w:ascii="Arial" w:hAnsi="Arial" w:cs="Arial"/>
          <w:snapToGrid w:val="0"/>
          <w:sz w:val="22"/>
          <w:szCs w:val="22"/>
          <w:lang w:val="es-ES_tradnl"/>
        </w:rPr>
        <w:t>89.2 del Real Decreto 500/1990)</w:t>
      </w:r>
      <w:r w:rsidR="00F56710">
        <w:rPr>
          <w:rFonts w:ascii="Arial" w:hAnsi="Arial" w:cs="Arial"/>
          <w:sz w:val="22"/>
          <w:szCs w:val="22"/>
          <w:shd w:val="clear" w:color="auto" w:fill="FFFFFF"/>
        </w:rPr>
        <w:t>.</w:t>
      </w:r>
    </w:p>
    <w:p w:rsidR="00DF4CBC" w:rsidRPr="00DC66A5" w:rsidRDefault="00443E94" w:rsidP="00443E94">
      <w:pPr>
        <w:pStyle w:val="NormalWeb"/>
        <w:shd w:val="clear" w:color="auto" w:fill="FFFFFF"/>
        <w:spacing w:before="0" w:beforeAutospacing="0" w:after="120" w:afterAutospacing="0"/>
        <w:jc w:val="both"/>
        <w:rPr>
          <w:rFonts w:ascii="Arial" w:hAnsi="Arial" w:cs="Arial"/>
          <w:sz w:val="22"/>
          <w:szCs w:val="22"/>
        </w:rPr>
      </w:pPr>
      <w:r>
        <w:rPr>
          <w:rFonts w:ascii="Arial" w:hAnsi="Arial" w:cs="Arial"/>
          <w:sz w:val="22"/>
          <w:szCs w:val="22"/>
        </w:rPr>
        <w:tab/>
      </w:r>
      <w:r w:rsidR="005C39B4" w:rsidRPr="005C39B4">
        <w:rPr>
          <w:rFonts w:ascii="Arial" w:hAnsi="Arial" w:cs="Arial"/>
          <w:sz w:val="22"/>
          <w:szCs w:val="22"/>
          <w:u w:val="single"/>
        </w:rPr>
        <w:t>Órgano competente</w:t>
      </w:r>
      <w:r w:rsidR="005C39B4">
        <w:rPr>
          <w:rFonts w:ascii="Arial" w:hAnsi="Arial" w:cs="Arial"/>
          <w:sz w:val="22"/>
          <w:szCs w:val="22"/>
        </w:rPr>
        <w:t xml:space="preserve">: </w:t>
      </w:r>
      <w:r w:rsidR="00DF4CBC" w:rsidRPr="00DC66A5">
        <w:rPr>
          <w:rFonts w:ascii="Arial" w:hAnsi="Arial" w:cs="Arial"/>
          <w:sz w:val="22"/>
          <w:szCs w:val="22"/>
        </w:rPr>
        <w:t>Corresponderá al Presidente de la Entidad local, previo informe de la Intervención, la aprobación de la liquidación del Presupuesto de la Entidad local y de las liquidaciones de los Presupuestos de los Organismos autónomos de ella dependientes (artículo</w:t>
      </w:r>
      <w:r w:rsidR="00DC7204" w:rsidRPr="00DC66A5">
        <w:rPr>
          <w:rFonts w:ascii="Arial" w:hAnsi="Arial" w:cs="Arial"/>
          <w:sz w:val="22"/>
          <w:szCs w:val="22"/>
        </w:rPr>
        <w:t xml:space="preserve">s 191.3 </w:t>
      </w:r>
      <w:r w:rsidR="0009219B" w:rsidRPr="00DC66A5">
        <w:rPr>
          <w:rFonts w:ascii="Arial" w:hAnsi="Arial" w:cs="Arial"/>
          <w:sz w:val="22"/>
          <w:szCs w:val="22"/>
        </w:rPr>
        <w:t xml:space="preserve">y </w:t>
      </w:r>
      <w:r w:rsidR="00DC7204" w:rsidRPr="00DC66A5">
        <w:rPr>
          <w:rFonts w:ascii="Arial" w:hAnsi="Arial" w:cs="Arial"/>
          <w:sz w:val="22"/>
          <w:szCs w:val="22"/>
        </w:rPr>
        <w:t>193.2  TRLRHL y 90.1 RD 500/90)</w:t>
      </w:r>
      <w:r w:rsidR="00DF4CBC" w:rsidRPr="00DC66A5">
        <w:rPr>
          <w:rFonts w:ascii="Arial" w:hAnsi="Arial" w:cs="Arial"/>
          <w:sz w:val="22"/>
          <w:szCs w:val="22"/>
        </w:rPr>
        <w:t xml:space="preserve"> </w:t>
      </w:r>
    </w:p>
    <w:p w:rsidR="006A6A61" w:rsidRPr="00DC66A5" w:rsidRDefault="00443E94" w:rsidP="00443E94">
      <w:pPr>
        <w:pStyle w:val="NormalWeb"/>
        <w:shd w:val="clear" w:color="auto" w:fill="FFFFFF"/>
        <w:spacing w:before="0" w:beforeAutospacing="0" w:after="120" w:afterAutospacing="0"/>
        <w:jc w:val="both"/>
        <w:rPr>
          <w:rFonts w:ascii="Arial" w:hAnsi="Arial" w:cs="Arial"/>
          <w:sz w:val="22"/>
          <w:szCs w:val="22"/>
        </w:rPr>
      </w:pPr>
      <w:r>
        <w:rPr>
          <w:rFonts w:ascii="Arial" w:hAnsi="Arial" w:cs="Arial"/>
          <w:sz w:val="22"/>
          <w:szCs w:val="22"/>
        </w:rPr>
        <w:tab/>
      </w:r>
      <w:r w:rsidR="005C39B4" w:rsidRPr="005C39B4">
        <w:rPr>
          <w:rFonts w:ascii="Arial" w:hAnsi="Arial" w:cs="Arial"/>
          <w:sz w:val="22"/>
          <w:szCs w:val="22"/>
          <w:u w:val="single"/>
        </w:rPr>
        <w:t>Dación de cuenta</w:t>
      </w:r>
      <w:r w:rsidR="005C39B4">
        <w:rPr>
          <w:rFonts w:ascii="Arial" w:hAnsi="Arial" w:cs="Arial"/>
          <w:sz w:val="22"/>
          <w:szCs w:val="22"/>
        </w:rPr>
        <w:t xml:space="preserve">: </w:t>
      </w:r>
      <w:r w:rsidR="00DF4CBC" w:rsidRPr="00DC66A5">
        <w:rPr>
          <w:rFonts w:ascii="Arial" w:hAnsi="Arial" w:cs="Arial"/>
          <w:sz w:val="22"/>
          <w:szCs w:val="22"/>
        </w:rPr>
        <w:t xml:space="preserve">De la liquidación de cada </w:t>
      </w:r>
      <w:r w:rsidR="00DF4CBC" w:rsidRPr="00457D81">
        <w:rPr>
          <w:rFonts w:ascii="Arial" w:hAnsi="Arial" w:cs="Arial"/>
          <w:sz w:val="22"/>
          <w:szCs w:val="22"/>
        </w:rPr>
        <w:t>uno de los Presupuestos citados</w:t>
      </w:r>
      <w:r w:rsidR="00DF4CBC" w:rsidRPr="00DC66A5">
        <w:rPr>
          <w:rFonts w:ascii="Arial" w:hAnsi="Arial" w:cs="Arial"/>
          <w:sz w:val="22"/>
          <w:szCs w:val="22"/>
        </w:rPr>
        <w:t>, una vez efectuada su aprobación, se dará cuenta al Pleno en la primera sesión que celebre (artículo</w:t>
      </w:r>
      <w:r w:rsidR="0009219B" w:rsidRPr="00DC66A5">
        <w:rPr>
          <w:rFonts w:ascii="Arial" w:hAnsi="Arial" w:cs="Arial"/>
          <w:sz w:val="22"/>
          <w:szCs w:val="22"/>
        </w:rPr>
        <w:t>s</w:t>
      </w:r>
      <w:r w:rsidR="00DF4CBC" w:rsidRPr="00DC66A5">
        <w:rPr>
          <w:rFonts w:ascii="Arial" w:hAnsi="Arial" w:cs="Arial"/>
          <w:sz w:val="22"/>
          <w:szCs w:val="22"/>
        </w:rPr>
        <w:t xml:space="preserve"> </w:t>
      </w:r>
      <w:r w:rsidR="0009219B" w:rsidRPr="00DC66A5">
        <w:rPr>
          <w:rFonts w:ascii="Arial" w:hAnsi="Arial" w:cs="Arial"/>
          <w:sz w:val="22"/>
          <w:szCs w:val="22"/>
        </w:rPr>
        <w:t xml:space="preserve">193.4 </w:t>
      </w:r>
      <w:r w:rsidR="00DF4CBC" w:rsidRPr="00DC66A5">
        <w:rPr>
          <w:rFonts w:ascii="Arial" w:hAnsi="Arial" w:cs="Arial"/>
          <w:sz w:val="22"/>
          <w:szCs w:val="22"/>
        </w:rPr>
        <w:t>LRHL</w:t>
      </w:r>
      <w:r w:rsidR="0009219B" w:rsidRPr="00DC66A5">
        <w:rPr>
          <w:rFonts w:ascii="Arial" w:hAnsi="Arial" w:cs="Arial"/>
          <w:sz w:val="22"/>
          <w:szCs w:val="22"/>
        </w:rPr>
        <w:t xml:space="preserve"> y 90.2 del RD500/</w:t>
      </w:r>
      <w:r w:rsidR="009628EB">
        <w:rPr>
          <w:rFonts w:ascii="Arial" w:hAnsi="Arial" w:cs="Arial"/>
          <w:sz w:val="22"/>
          <w:szCs w:val="22"/>
        </w:rPr>
        <w:t>1990</w:t>
      </w:r>
      <w:r w:rsidR="00DF4CBC" w:rsidRPr="00DC66A5">
        <w:rPr>
          <w:rFonts w:ascii="Arial" w:hAnsi="Arial" w:cs="Arial"/>
          <w:sz w:val="22"/>
          <w:szCs w:val="22"/>
        </w:rPr>
        <w:t>).</w:t>
      </w:r>
    </w:p>
    <w:p w:rsidR="00DF4CBC" w:rsidRDefault="00443E94" w:rsidP="00443E94">
      <w:pPr>
        <w:pStyle w:val="NormalWeb"/>
        <w:shd w:val="clear" w:color="auto" w:fill="FFFFFF"/>
        <w:spacing w:before="0" w:beforeAutospacing="0" w:after="120" w:afterAutospacing="0"/>
        <w:jc w:val="both"/>
        <w:rPr>
          <w:rFonts w:ascii="Arial" w:hAnsi="Arial" w:cs="Arial"/>
          <w:sz w:val="22"/>
          <w:szCs w:val="22"/>
        </w:rPr>
      </w:pPr>
      <w:r>
        <w:rPr>
          <w:rFonts w:ascii="Arial" w:hAnsi="Arial" w:cs="Arial"/>
          <w:sz w:val="22"/>
          <w:szCs w:val="22"/>
        </w:rPr>
        <w:tab/>
      </w:r>
      <w:r w:rsidR="005C39B4" w:rsidRPr="005C39B4">
        <w:rPr>
          <w:rFonts w:ascii="Arial" w:hAnsi="Arial" w:cs="Arial"/>
          <w:sz w:val="22"/>
          <w:szCs w:val="22"/>
          <w:u w:val="single"/>
        </w:rPr>
        <w:t>Remisión a otras Administraciones</w:t>
      </w:r>
      <w:r w:rsidR="005C39B4">
        <w:rPr>
          <w:rFonts w:ascii="Arial" w:hAnsi="Arial" w:cs="Arial"/>
          <w:sz w:val="22"/>
          <w:szCs w:val="22"/>
        </w:rPr>
        <w:t xml:space="preserve">: </w:t>
      </w:r>
      <w:r w:rsidR="00DF4CBC" w:rsidRPr="00DC66A5">
        <w:rPr>
          <w:rFonts w:ascii="Arial" w:hAnsi="Arial" w:cs="Arial"/>
          <w:sz w:val="22"/>
          <w:szCs w:val="22"/>
        </w:rPr>
        <w:t xml:space="preserve">Las Entidades locales remitirán copia de la liquidación de sus Presupuestos, </w:t>
      </w:r>
      <w:r w:rsidR="00DF4CBC" w:rsidRPr="004C3550">
        <w:rPr>
          <w:rFonts w:ascii="Arial" w:hAnsi="Arial" w:cs="Arial"/>
          <w:sz w:val="22"/>
          <w:szCs w:val="22"/>
        </w:rPr>
        <w:t>antes de finalizar el mes de marzo del ejercicio siguiente al que corresponda, a la Comunidad Autónoma y al Centro o</w:t>
      </w:r>
      <w:r w:rsidR="00DF4CBC" w:rsidRPr="00DC66A5">
        <w:rPr>
          <w:rFonts w:ascii="Arial" w:hAnsi="Arial" w:cs="Arial"/>
          <w:sz w:val="22"/>
          <w:szCs w:val="22"/>
        </w:rPr>
        <w:t xml:space="preserve"> Dependencia del Ministerio de Economía y Hacienda que éste determine (artículo</w:t>
      </w:r>
      <w:r w:rsidR="0009219B" w:rsidRPr="00DC66A5">
        <w:rPr>
          <w:rFonts w:ascii="Arial" w:hAnsi="Arial" w:cs="Arial"/>
          <w:sz w:val="22"/>
          <w:szCs w:val="22"/>
        </w:rPr>
        <w:t>s</w:t>
      </w:r>
      <w:r w:rsidR="006A6A61" w:rsidRPr="00DC66A5">
        <w:rPr>
          <w:rFonts w:ascii="Arial" w:hAnsi="Arial" w:cs="Arial"/>
          <w:sz w:val="22"/>
          <w:szCs w:val="22"/>
        </w:rPr>
        <w:t xml:space="preserve"> 193.5 TRLRHL </w:t>
      </w:r>
      <w:r w:rsidR="0009219B" w:rsidRPr="00DC66A5">
        <w:rPr>
          <w:rFonts w:ascii="Arial" w:hAnsi="Arial" w:cs="Arial"/>
          <w:sz w:val="22"/>
          <w:szCs w:val="22"/>
        </w:rPr>
        <w:t xml:space="preserve">y 91 del RD </w:t>
      </w:r>
      <w:r w:rsidR="000C6E45">
        <w:rPr>
          <w:rFonts w:ascii="Arial" w:hAnsi="Arial" w:cs="Arial"/>
          <w:sz w:val="22"/>
          <w:szCs w:val="22"/>
        </w:rPr>
        <w:t>500/90</w:t>
      </w:r>
      <w:r w:rsidR="0009219B" w:rsidRPr="00DC66A5">
        <w:rPr>
          <w:rFonts w:ascii="Arial" w:hAnsi="Arial" w:cs="Arial"/>
          <w:sz w:val="22"/>
          <w:szCs w:val="22"/>
        </w:rPr>
        <w:t>)</w:t>
      </w:r>
      <w:r w:rsidR="000C6E45">
        <w:rPr>
          <w:rFonts w:ascii="Arial" w:hAnsi="Arial" w:cs="Arial"/>
          <w:sz w:val="22"/>
          <w:szCs w:val="22"/>
        </w:rPr>
        <w:t>.</w:t>
      </w:r>
    </w:p>
    <w:p w:rsidR="000C6E45" w:rsidRPr="00640E03" w:rsidRDefault="00056D09" w:rsidP="00A84F07">
      <w:pPr>
        <w:widowControl w:val="0"/>
        <w:autoSpaceDE w:val="0"/>
        <w:autoSpaceDN w:val="0"/>
        <w:adjustRightInd w:val="0"/>
        <w:spacing w:after="160"/>
        <w:ind w:left="709"/>
        <w:jc w:val="both"/>
        <w:rPr>
          <w:rFonts w:ascii="Arial" w:hAnsi="Arial" w:cs="Arial"/>
          <w:i/>
          <w:sz w:val="20"/>
          <w:szCs w:val="20"/>
        </w:rPr>
      </w:pPr>
      <w:r w:rsidRPr="00640E03">
        <w:rPr>
          <w:rFonts w:ascii="Arial" w:hAnsi="Arial" w:cs="Arial"/>
          <w:sz w:val="20"/>
          <w:szCs w:val="20"/>
          <w:highlight w:val="lightGray"/>
        </w:rPr>
        <w:t xml:space="preserve"> </w:t>
      </w:r>
      <w:r w:rsidR="00CA6EE1" w:rsidRPr="00640E03">
        <w:rPr>
          <w:rFonts w:ascii="Arial" w:hAnsi="Arial" w:cs="Arial"/>
          <w:sz w:val="20"/>
          <w:szCs w:val="20"/>
          <w:highlight w:val="lightGray"/>
        </w:rPr>
        <w:t>(</w:t>
      </w:r>
      <w:r w:rsidR="00CA6EE1" w:rsidRPr="00640E03">
        <w:rPr>
          <w:rFonts w:ascii="Arial" w:hAnsi="Arial" w:cs="Arial"/>
          <w:i/>
          <w:sz w:val="20"/>
          <w:szCs w:val="20"/>
          <w:highlight w:val="lightGray"/>
        </w:rPr>
        <w:t>E</w:t>
      </w:r>
      <w:r w:rsidR="005C39B4" w:rsidRPr="00640E03">
        <w:rPr>
          <w:rFonts w:ascii="Arial" w:hAnsi="Arial" w:cs="Arial"/>
          <w:i/>
          <w:sz w:val="20"/>
          <w:szCs w:val="20"/>
          <w:highlight w:val="lightGray"/>
        </w:rPr>
        <w:t xml:space="preserve">l </w:t>
      </w:r>
      <w:r w:rsidR="00D05DFE" w:rsidRPr="00640E03">
        <w:rPr>
          <w:rFonts w:ascii="Arial" w:hAnsi="Arial" w:cs="Arial"/>
          <w:i/>
          <w:sz w:val="20"/>
          <w:szCs w:val="20"/>
          <w:highlight w:val="lightGray"/>
        </w:rPr>
        <w:t>Artículo 36 de la Ley 2/2011,</w:t>
      </w:r>
      <w:r w:rsidR="005C39B4" w:rsidRPr="00640E03">
        <w:rPr>
          <w:rFonts w:ascii="Arial" w:hAnsi="Arial" w:cs="Arial"/>
          <w:i/>
          <w:sz w:val="20"/>
          <w:szCs w:val="20"/>
          <w:highlight w:val="lightGray"/>
        </w:rPr>
        <w:t xml:space="preserve">de 4 de marzo, de Economía Sostenible, señala, en su apartado 1, que </w:t>
      </w:r>
      <w:r w:rsidR="005C39B4" w:rsidRPr="00640E03">
        <w:rPr>
          <w:rFonts w:ascii="Arial" w:hAnsi="Arial" w:cs="Arial"/>
          <w:i/>
          <w:sz w:val="20"/>
          <w:szCs w:val="20"/>
          <w:highlight w:val="lightGray"/>
          <w:u w:val="single"/>
        </w:rPr>
        <w:t xml:space="preserve">si se incumple </w:t>
      </w:r>
      <w:r w:rsidR="005C39B4" w:rsidRPr="00640E03">
        <w:rPr>
          <w:rFonts w:ascii="Arial" w:hAnsi="Arial" w:cs="Arial"/>
          <w:i/>
          <w:sz w:val="20"/>
          <w:szCs w:val="20"/>
          <w:highlight w:val="lightGray"/>
          <w:u w:val="single"/>
          <w:shd w:val="clear" w:color="auto" w:fill="FFFFFF"/>
        </w:rPr>
        <w:t>la obligación de remitir al Ministerio</w:t>
      </w:r>
      <w:r w:rsidR="005C39B4" w:rsidRPr="00640E03">
        <w:rPr>
          <w:rFonts w:ascii="Arial" w:hAnsi="Arial" w:cs="Arial"/>
          <w:i/>
          <w:sz w:val="20"/>
          <w:szCs w:val="20"/>
          <w:highlight w:val="lightGray"/>
          <w:shd w:val="clear" w:color="auto" w:fill="FFFFFF"/>
        </w:rPr>
        <w:t xml:space="preserve"> de Hacienda y Administraciones Públicas toda la información relativa a la liquidación de sus respectivos presupuestos de cada ejercicio, la Secretaría General de Coordinación Autonómica y Local, procederá a </w:t>
      </w:r>
      <w:r w:rsidR="005C39B4" w:rsidRPr="00640E03">
        <w:rPr>
          <w:rFonts w:ascii="Arial" w:hAnsi="Arial" w:cs="Arial"/>
          <w:i/>
          <w:sz w:val="20"/>
          <w:szCs w:val="20"/>
          <w:highlight w:val="lightGray"/>
          <w:u w:val="single"/>
          <w:shd w:val="clear" w:color="auto" w:fill="FFFFFF"/>
        </w:rPr>
        <w:t xml:space="preserve">retener a partir del mes de junio del ejercicio siguiente </w:t>
      </w:r>
      <w:r w:rsidR="005C39B4" w:rsidRPr="00640E03">
        <w:rPr>
          <w:rFonts w:ascii="Arial" w:hAnsi="Arial" w:cs="Arial"/>
          <w:i/>
          <w:sz w:val="20"/>
          <w:szCs w:val="20"/>
          <w:highlight w:val="lightGray"/>
          <w:shd w:val="clear" w:color="auto" w:fill="FFFFFF"/>
        </w:rPr>
        <w:t xml:space="preserve">al que corresponda aquella liquidación, y hasta que se produzca la regularización de la citada remisión, así como la de las liquidaciones de los ejercicios a los que resulta de aplicación la presente norma, </w:t>
      </w:r>
      <w:r w:rsidR="005C39B4" w:rsidRPr="00640E03">
        <w:rPr>
          <w:rFonts w:ascii="Arial" w:hAnsi="Arial" w:cs="Arial"/>
          <w:i/>
          <w:sz w:val="20"/>
          <w:szCs w:val="20"/>
          <w:highlight w:val="lightGray"/>
          <w:u w:val="single"/>
          <w:shd w:val="clear" w:color="auto" w:fill="FFFFFF"/>
        </w:rPr>
        <w:t>el importe de las entregas a cuenta y, en su caso, anticipos y liquidaciones definitivas de la participación en los tributos del Estado</w:t>
      </w:r>
      <w:r w:rsidR="005C39B4" w:rsidRPr="00640E03">
        <w:rPr>
          <w:rFonts w:ascii="Arial" w:hAnsi="Arial" w:cs="Arial"/>
          <w:i/>
          <w:sz w:val="20"/>
          <w:szCs w:val="20"/>
          <w:highlight w:val="lightGray"/>
          <w:shd w:val="clear" w:color="auto" w:fill="FFFFFF"/>
        </w:rPr>
        <w:t xml:space="preserve"> que les corresponda</w:t>
      </w:r>
      <w:r w:rsidR="00CA6EE1" w:rsidRPr="00640E03">
        <w:rPr>
          <w:rFonts w:ascii="Arial" w:hAnsi="Arial" w:cs="Arial"/>
          <w:i/>
          <w:sz w:val="20"/>
          <w:szCs w:val="20"/>
          <w:highlight w:val="lightGray"/>
          <w:shd w:val="clear" w:color="auto" w:fill="FFFFFF"/>
        </w:rPr>
        <w:t>)</w:t>
      </w:r>
      <w:r w:rsidR="00CA6EE1" w:rsidRPr="00640E03">
        <w:rPr>
          <w:rFonts w:ascii="Arial" w:hAnsi="Arial" w:cs="Arial"/>
          <w:i/>
          <w:sz w:val="20"/>
          <w:szCs w:val="20"/>
          <w:shd w:val="clear" w:color="auto" w:fill="FFFFFF"/>
        </w:rPr>
        <w:t xml:space="preserve"> </w:t>
      </w:r>
    </w:p>
    <w:p w:rsidR="00B12B6A" w:rsidRDefault="00B12B6A" w:rsidP="00230FAF">
      <w:pPr>
        <w:pStyle w:val="NormalWeb"/>
        <w:shd w:val="clear" w:color="auto" w:fill="FFFFFF"/>
        <w:spacing w:before="0" w:beforeAutospacing="0" w:after="160" w:afterAutospacing="0"/>
        <w:ind w:firstLine="709"/>
        <w:jc w:val="both"/>
        <w:rPr>
          <w:rFonts w:ascii="Arial" w:hAnsi="Arial" w:cs="Arial"/>
          <w:b/>
          <w:sz w:val="22"/>
          <w:szCs w:val="22"/>
        </w:rPr>
      </w:pPr>
    </w:p>
    <w:p w:rsidR="007F626C" w:rsidRPr="00272A4E" w:rsidRDefault="00230FAF" w:rsidP="00230FAF">
      <w:pPr>
        <w:pStyle w:val="NormalWeb"/>
        <w:shd w:val="clear" w:color="auto" w:fill="FFFFFF"/>
        <w:spacing w:before="0" w:beforeAutospacing="0" w:after="160" w:afterAutospacing="0"/>
        <w:ind w:firstLine="709"/>
        <w:jc w:val="both"/>
        <w:rPr>
          <w:rFonts w:ascii="Arial" w:hAnsi="Arial" w:cs="Arial"/>
          <w:sz w:val="22"/>
          <w:szCs w:val="22"/>
        </w:rPr>
      </w:pPr>
      <w:r>
        <w:rPr>
          <w:rFonts w:ascii="Arial" w:hAnsi="Arial" w:cs="Arial"/>
          <w:b/>
          <w:sz w:val="22"/>
          <w:szCs w:val="22"/>
        </w:rPr>
        <w:t>T</w:t>
      </w:r>
      <w:r w:rsidR="002249CB" w:rsidRPr="00272A4E">
        <w:rPr>
          <w:rFonts w:ascii="Arial" w:hAnsi="Arial" w:cs="Arial"/>
          <w:b/>
          <w:sz w:val="22"/>
          <w:szCs w:val="22"/>
        </w:rPr>
        <w:t>ERCERO</w:t>
      </w:r>
      <w:r w:rsidR="007F626C" w:rsidRPr="00272A4E">
        <w:rPr>
          <w:rFonts w:ascii="Arial" w:hAnsi="Arial" w:cs="Arial"/>
          <w:sz w:val="22"/>
          <w:szCs w:val="22"/>
        </w:rPr>
        <w:t xml:space="preserve">. </w:t>
      </w:r>
      <w:r w:rsidR="009068CA" w:rsidRPr="00272A4E">
        <w:rPr>
          <w:rFonts w:ascii="Arial" w:hAnsi="Arial" w:cs="Arial"/>
          <w:sz w:val="22"/>
          <w:szCs w:val="22"/>
        </w:rPr>
        <w:t xml:space="preserve">Evaluación de la </w:t>
      </w:r>
      <w:r w:rsidR="002137C3">
        <w:rPr>
          <w:rFonts w:ascii="Arial" w:hAnsi="Arial" w:cs="Arial"/>
          <w:sz w:val="22"/>
          <w:szCs w:val="22"/>
        </w:rPr>
        <w:t>Estabilidad Presupuestaria</w:t>
      </w:r>
      <w:r w:rsidR="00107B89" w:rsidRPr="00272A4E">
        <w:rPr>
          <w:rFonts w:ascii="Arial" w:hAnsi="Arial" w:cs="Arial"/>
          <w:sz w:val="22"/>
          <w:szCs w:val="22"/>
        </w:rPr>
        <w:t xml:space="preserve">, </w:t>
      </w:r>
      <w:r w:rsidR="002137C3">
        <w:rPr>
          <w:rFonts w:ascii="Arial" w:hAnsi="Arial" w:cs="Arial"/>
          <w:sz w:val="22"/>
          <w:szCs w:val="22"/>
        </w:rPr>
        <w:t>Nivel de Deuda</w:t>
      </w:r>
      <w:r w:rsidR="00107B89" w:rsidRPr="00272A4E">
        <w:rPr>
          <w:rFonts w:ascii="Arial" w:hAnsi="Arial" w:cs="Arial"/>
          <w:sz w:val="22"/>
          <w:szCs w:val="22"/>
        </w:rPr>
        <w:t xml:space="preserve"> y </w:t>
      </w:r>
      <w:r w:rsidR="002137C3">
        <w:rPr>
          <w:rFonts w:ascii="Arial" w:hAnsi="Arial" w:cs="Arial"/>
          <w:sz w:val="22"/>
          <w:szCs w:val="22"/>
        </w:rPr>
        <w:t>Regla de Gasto</w:t>
      </w:r>
      <w:r w:rsidR="00272A4E">
        <w:rPr>
          <w:rFonts w:ascii="Arial" w:hAnsi="Arial" w:cs="Arial"/>
          <w:sz w:val="22"/>
          <w:szCs w:val="22"/>
        </w:rPr>
        <w:t>.</w:t>
      </w:r>
    </w:p>
    <w:p w:rsidR="007F7D78" w:rsidRPr="007F7D78" w:rsidRDefault="007F7D78" w:rsidP="007F7D78">
      <w:pPr>
        <w:pStyle w:val="NormalWeb"/>
        <w:shd w:val="clear" w:color="auto" w:fill="FFFFFF"/>
        <w:spacing w:before="0" w:beforeAutospacing="0" w:after="160" w:afterAutospacing="0"/>
        <w:ind w:firstLine="709"/>
        <w:jc w:val="both"/>
        <w:rPr>
          <w:rFonts w:ascii="Arial" w:hAnsi="Arial" w:cs="Arial"/>
          <w:sz w:val="22"/>
          <w:szCs w:val="22"/>
        </w:rPr>
      </w:pPr>
      <w:r w:rsidRPr="007F7D78">
        <w:rPr>
          <w:rFonts w:ascii="Arial" w:hAnsi="Arial" w:cs="Arial"/>
          <w:sz w:val="22"/>
          <w:szCs w:val="22"/>
        </w:rPr>
        <w:t xml:space="preserve">Es preciso recordar que la Comisión Europea decidió aplicar la cláusula general de salvaguarda del Pacto de Estabilidad y Crecimiento en 2020 (prorrogada para el ejercicio 2021 y 2022), considerando que se </w:t>
      </w:r>
      <w:r w:rsidR="00B12B6A">
        <w:rPr>
          <w:rFonts w:ascii="Arial" w:hAnsi="Arial" w:cs="Arial"/>
          <w:sz w:val="22"/>
          <w:szCs w:val="22"/>
        </w:rPr>
        <w:t>daban</w:t>
      </w:r>
      <w:r w:rsidRPr="007F7D78">
        <w:rPr>
          <w:rFonts w:ascii="Arial" w:hAnsi="Arial" w:cs="Arial"/>
          <w:sz w:val="22"/>
          <w:szCs w:val="22"/>
        </w:rPr>
        <w:t xml:space="preserve"> las condiciones para mantenerla en vigor también para el año 2023, por lo que el Consejo de Ministros del pasado 26 de julio acordó el mantenimiento de la suspensión de las reglas fiscales para el expresado 2023.</w:t>
      </w:r>
    </w:p>
    <w:p w:rsidR="00272A4E" w:rsidRDefault="00272A4E" w:rsidP="00B12B6A">
      <w:pPr>
        <w:widowControl w:val="0"/>
        <w:autoSpaceDE w:val="0"/>
        <w:autoSpaceDN w:val="0"/>
        <w:adjustRightInd w:val="0"/>
        <w:spacing w:after="120"/>
        <w:jc w:val="both"/>
        <w:rPr>
          <w:rFonts w:ascii="Arial" w:hAnsi="Arial" w:cs="Arial"/>
          <w:sz w:val="22"/>
          <w:szCs w:val="22"/>
        </w:rPr>
      </w:pPr>
      <w:r>
        <w:rPr>
          <w:rFonts w:ascii="Arial" w:hAnsi="Arial" w:cs="Arial"/>
          <w:sz w:val="22"/>
          <w:szCs w:val="22"/>
        </w:rPr>
        <w:tab/>
      </w:r>
      <w:r w:rsidR="00B12B6A">
        <w:rPr>
          <w:rFonts w:ascii="Arial" w:hAnsi="Arial" w:cs="Arial"/>
          <w:sz w:val="22"/>
          <w:szCs w:val="22"/>
        </w:rPr>
        <w:t>No obstante, l</w:t>
      </w:r>
      <w:r w:rsidRPr="00272A4E">
        <w:rPr>
          <w:rFonts w:ascii="Arial" w:hAnsi="Arial" w:cs="Arial"/>
          <w:sz w:val="22"/>
          <w:szCs w:val="22"/>
        </w:rPr>
        <w:t>a suspensión de las reglas fiscales no implica la suspensión de la aplicación de la L</w:t>
      </w:r>
      <w:r w:rsidR="00230FAF">
        <w:rPr>
          <w:rFonts w:ascii="Arial" w:hAnsi="Arial" w:cs="Arial"/>
          <w:sz w:val="22"/>
          <w:szCs w:val="22"/>
        </w:rPr>
        <w:t>OEPSF</w:t>
      </w:r>
      <w:r w:rsidRPr="00272A4E">
        <w:rPr>
          <w:rFonts w:ascii="Arial" w:hAnsi="Arial" w:cs="Arial"/>
          <w:sz w:val="22"/>
          <w:szCs w:val="22"/>
        </w:rPr>
        <w:t>, del T</w:t>
      </w:r>
      <w:r w:rsidR="00230FAF">
        <w:rPr>
          <w:rFonts w:ascii="Arial" w:hAnsi="Arial" w:cs="Arial"/>
          <w:sz w:val="22"/>
          <w:szCs w:val="22"/>
        </w:rPr>
        <w:t xml:space="preserve">RLRHL, </w:t>
      </w:r>
      <w:r w:rsidRPr="00272A4E">
        <w:rPr>
          <w:rFonts w:ascii="Arial" w:hAnsi="Arial" w:cs="Arial"/>
          <w:sz w:val="22"/>
          <w:szCs w:val="22"/>
        </w:rPr>
        <w:t>ni del resto de la normativa hacendística.</w:t>
      </w:r>
      <w:r w:rsidR="00B12B6A">
        <w:rPr>
          <w:rFonts w:ascii="Arial" w:hAnsi="Arial" w:cs="Arial"/>
          <w:sz w:val="22"/>
          <w:szCs w:val="22"/>
        </w:rPr>
        <w:t xml:space="preserve"> En consecuencia. las Entidades Lo</w:t>
      </w:r>
      <w:r w:rsidR="00B12B6A" w:rsidRPr="000F4F48">
        <w:rPr>
          <w:rFonts w:ascii="Arial" w:hAnsi="Arial" w:cs="Arial"/>
          <w:sz w:val="22"/>
          <w:szCs w:val="22"/>
        </w:rPr>
        <w:t xml:space="preserve">cales deberán someter la elaboración, aprobación y ejecución de los Presupuestos y demás actuaciones que afecten a los gastos o ingresos al principio de </w:t>
      </w:r>
      <w:r w:rsidR="002137C3">
        <w:rPr>
          <w:rFonts w:ascii="Arial" w:hAnsi="Arial" w:cs="Arial"/>
          <w:sz w:val="22"/>
          <w:szCs w:val="22"/>
        </w:rPr>
        <w:t>Estabilidad Presupuestaria</w:t>
      </w:r>
      <w:r w:rsidR="00B12B6A" w:rsidRPr="000F4F48">
        <w:rPr>
          <w:rFonts w:ascii="Arial" w:hAnsi="Arial" w:cs="Arial"/>
          <w:sz w:val="22"/>
          <w:szCs w:val="22"/>
        </w:rPr>
        <w:t>, coherente con la normativa europea, entendido éste como la situación de equilibrio o superávit estructural (artículos 3 y 11 de la LOEPSF).</w:t>
      </w:r>
    </w:p>
    <w:p w:rsidR="00D45D38" w:rsidRDefault="00B12B6A" w:rsidP="00D45D38">
      <w:pPr>
        <w:pStyle w:val="NormalWeb"/>
        <w:ind w:firstLine="708"/>
        <w:jc w:val="both"/>
        <w:rPr>
          <w:rFonts w:ascii="Arial" w:hAnsi="Arial"/>
          <w:sz w:val="22"/>
          <w:szCs w:val="22"/>
        </w:rPr>
      </w:pPr>
      <w:r w:rsidRPr="000F4F48">
        <w:rPr>
          <w:rFonts w:ascii="Arial" w:hAnsi="Arial"/>
          <w:sz w:val="22"/>
          <w:szCs w:val="22"/>
        </w:rPr>
        <w:t>A este respecto la Intervención Local elevará al Pleno un informe sobre el cumplimiento del objetivo de estabilidad de la propia Entidad Local y de sus organismos y entidades dependientes.</w:t>
      </w:r>
      <w:r w:rsidR="00D45D38" w:rsidRPr="00D45D38">
        <w:rPr>
          <w:rFonts w:ascii="Arial" w:hAnsi="Arial"/>
          <w:sz w:val="22"/>
          <w:szCs w:val="22"/>
        </w:rPr>
        <w:t xml:space="preserve"> </w:t>
      </w:r>
      <w:r w:rsidR="00D45D38" w:rsidRPr="000F4F48">
        <w:rPr>
          <w:rFonts w:ascii="Arial" w:hAnsi="Arial"/>
          <w:sz w:val="22"/>
          <w:szCs w:val="22"/>
        </w:rPr>
        <w:t xml:space="preserve">Este informe se emitirá con carácter independiente y se incorporará a los previstos en los artículos 191.3 </w:t>
      </w:r>
      <w:r w:rsidR="00F75C3D">
        <w:rPr>
          <w:rFonts w:ascii="Arial" w:hAnsi="Arial"/>
          <w:sz w:val="22"/>
          <w:szCs w:val="22"/>
        </w:rPr>
        <w:t>TRLRHL (art. 16.2 RLEP.</w:t>
      </w:r>
      <w:r w:rsidR="00D45D38" w:rsidRPr="000F4F48">
        <w:rPr>
          <w:rFonts w:ascii="Arial" w:hAnsi="Arial"/>
          <w:sz w:val="22"/>
          <w:szCs w:val="22"/>
        </w:rPr>
        <w:t xml:space="preserve"> </w:t>
      </w:r>
    </w:p>
    <w:p w:rsidR="00272A4E" w:rsidRDefault="00D45D38" w:rsidP="00D45D38">
      <w:pPr>
        <w:pStyle w:val="NormalWeb"/>
        <w:ind w:firstLine="708"/>
        <w:jc w:val="both"/>
        <w:rPr>
          <w:rFonts w:ascii="Arial" w:hAnsi="Arial" w:cs="Arial"/>
          <w:sz w:val="22"/>
          <w:szCs w:val="22"/>
        </w:rPr>
      </w:pPr>
      <w:r>
        <w:rPr>
          <w:rFonts w:ascii="Arial" w:hAnsi="Arial"/>
          <w:sz w:val="22"/>
          <w:szCs w:val="22"/>
        </w:rPr>
        <w:t>Sobre estas bases, s</w:t>
      </w:r>
      <w:r w:rsidR="00272A4E">
        <w:rPr>
          <w:rFonts w:ascii="Arial" w:hAnsi="Arial" w:cs="Arial"/>
          <w:sz w:val="22"/>
          <w:szCs w:val="22"/>
        </w:rPr>
        <w:t xml:space="preserve">e efectúa </w:t>
      </w:r>
      <w:r w:rsidR="00272A4E" w:rsidRPr="00272A4E">
        <w:rPr>
          <w:rFonts w:ascii="Arial" w:hAnsi="Arial" w:cs="Arial"/>
          <w:sz w:val="22"/>
          <w:szCs w:val="22"/>
        </w:rPr>
        <w:t xml:space="preserve">informe </w:t>
      </w:r>
      <w:r w:rsidR="00272A4E">
        <w:rPr>
          <w:rFonts w:ascii="Arial" w:hAnsi="Arial" w:cs="Arial"/>
          <w:sz w:val="22"/>
          <w:szCs w:val="22"/>
        </w:rPr>
        <w:t xml:space="preserve">independiente </w:t>
      </w:r>
      <w:r w:rsidR="00272A4E" w:rsidRPr="00272A4E">
        <w:rPr>
          <w:rFonts w:ascii="Arial" w:hAnsi="Arial" w:cs="Arial"/>
          <w:sz w:val="22"/>
          <w:szCs w:val="22"/>
        </w:rPr>
        <w:t xml:space="preserve">de evaluación </w:t>
      </w:r>
      <w:r w:rsidR="00CE6E4F">
        <w:rPr>
          <w:rFonts w:ascii="Arial" w:hAnsi="Arial" w:cs="Arial"/>
          <w:sz w:val="22"/>
          <w:szCs w:val="22"/>
        </w:rPr>
        <w:t xml:space="preserve">de </w:t>
      </w:r>
      <w:r>
        <w:rPr>
          <w:rFonts w:ascii="Arial" w:hAnsi="Arial" w:cs="Arial"/>
          <w:sz w:val="22"/>
          <w:szCs w:val="22"/>
        </w:rPr>
        <w:t xml:space="preserve">la </w:t>
      </w:r>
      <w:r w:rsidR="002137C3">
        <w:rPr>
          <w:rFonts w:ascii="Arial" w:hAnsi="Arial" w:cs="Arial"/>
          <w:sz w:val="22"/>
          <w:szCs w:val="22"/>
        </w:rPr>
        <w:t>Estabilidad Presupuestaria</w:t>
      </w:r>
      <w:r w:rsidR="00272A4E" w:rsidRPr="00272A4E">
        <w:rPr>
          <w:rFonts w:ascii="Arial" w:hAnsi="Arial" w:cs="Arial"/>
          <w:sz w:val="22"/>
          <w:szCs w:val="22"/>
        </w:rPr>
        <w:t xml:space="preserve"> en términos de capacidad o necesidad de financiació</w:t>
      </w:r>
      <w:r>
        <w:rPr>
          <w:rFonts w:ascii="Arial" w:hAnsi="Arial" w:cs="Arial"/>
          <w:sz w:val="22"/>
          <w:szCs w:val="22"/>
        </w:rPr>
        <w:t xml:space="preserve">n conforme al SEC-10, Nivel de </w:t>
      </w:r>
      <w:r w:rsidR="002137C3">
        <w:rPr>
          <w:rFonts w:ascii="Arial" w:hAnsi="Arial" w:cs="Arial"/>
          <w:sz w:val="22"/>
          <w:szCs w:val="22"/>
        </w:rPr>
        <w:t>Endeudamiento</w:t>
      </w:r>
      <w:r w:rsidR="00272A4E" w:rsidRPr="00272A4E">
        <w:rPr>
          <w:rFonts w:ascii="Arial" w:hAnsi="Arial" w:cs="Arial"/>
          <w:sz w:val="22"/>
          <w:szCs w:val="22"/>
        </w:rPr>
        <w:t xml:space="preserve"> </w:t>
      </w:r>
      <w:r w:rsidR="00025C2B" w:rsidRPr="00272A4E">
        <w:rPr>
          <w:rFonts w:ascii="Arial" w:hAnsi="Arial" w:cs="Arial"/>
          <w:sz w:val="22"/>
          <w:szCs w:val="22"/>
        </w:rPr>
        <w:t>y,</w:t>
      </w:r>
      <w:r>
        <w:rPr>
          <w:rFonts w:ascii="Arial" w:hAnsi="Arial" w:cs="Arial"/>
          <w:sz w:val="22"/>
          <w:szCs w:val="22"/>
        </w:rPr>
        <w:t xml:space="preserve"> respecto a la </w:t>
      </w:r>
      <w:r w:rsidR="002137C3">
        <w:rPr>
          <w:rFonts w:ascii="Arial" w:hAnsi="Arial" w:cs="Arial"/>
          <w:sz w:val="22"/>
          <w:szCs w:val="22"/>
        </w:rPr>
        <w:t>Regla de Gasto</w:t>
      </w:r>
      <w:r w:rsidR="00836FD1">
        <w:rPr>
          <w:rFonts w:ascii="Arial" w:hAnsi="Arial" w:cs="Arial"/>
          <w:sz w:val="22"/>
          <w:szCs w:val="22"/>
        </w:rPr>
        <w:t xml:space="preserve">, </w:t>
      </w:r>
      <w:r w:rsidR="00272A4E" w:rsidRPr="00272A4E">
        <w:rPr>
          <w:rFonts w:ascii="Arial" w:hAnsi="Arial" w:cs="Arial"/>
          <w:sz w:val="22"/>
          <w:szCs w:val="22"/>
        </w:rPr>
        <w:t>la variación del Gasto Computable en el ejercicio</w:t>
      </w:r>
      <w:r w:rsidR="003D5196">
        <w:rPr>
          <w:rFonts w:ascii="Arial" w:hAnsi="Arial" w:cs="Arial"/>
          <w:sz w:val="22"/>
          <w:szCs w:val="22"/>
        </w:rPr>
        <w:t xml:space="preserve"> 202</w:t>
      </w:r>
      <w:r w:rsidR="00230FAF">
        <w:rPr>
          <w:rFonts w:ascii="Arial" w:hAnsi="Arial" w:cs="Arial"/>
          <w:sz w:val="22"/>
          <w:szCs w:val="22"/>
        </w:rPr>
        <w:t>3</w:t>
      </w:r>
      <w:r w:rsidR="00E1465B">
        <w:rPr>
          <w:rFonts w:ascii="Arial" w:hAnsi="Arial" w:cs="Arial"/>
          <w:sz w:val="22"/>
          <w:szCs w:val="22"/>
        </w:rPr>
        <w:t xml:space="preserve"> respecto al 202</w:t>
      </w:r>
      <w:r w:rsidR="00230FAF">
        <w:rPr>
          <w:rFonts w:ascii="Arial" w:hAnsi="Arial" w:cs="Arial"/>
          <w:sz w:val="22"/>
          <w:szCs w:val="22"/>
        </w:rPr>
        <w:t>2</w:t>
      </w:r>
      <w:r w:rsidR="000D3CBD">
        <w:rPr>
          <w:rFonts w:ascii="Arial" w:hAnsi="Arial" w:cs="Arial"/>
          <w:sz w:val="22"/>
          <w:szCs w:val="22"/>
        </w:rPr>
        <w:t xml:space="preserve">. De </w:t>
      </w:r>
      <w:r>
        <w:rPr>
          <w:rFonts w:ascii="Arial" w:hAnsi="Arial" w:cs="Arial"/>
          <w:sz w:val="22"/>
          <w:szCs w:val="22"/>
        </w:rPr>
        <w:t>este</w:t>
      </w:r>
      <w:r w:rsidR="000D3CBD">
        <w:rPr>
          <w:rFonts w:ascii="Arial" w:hAnsi="Arial" w:cs="Arial"/>
          <w:sz w:val="22"/>
          <w:szCs w:val="22"/>
        </w:rPr>
        <w:t xml:space="preserve"> informe se deberá dar cuenta a Pleno</w:t>
      </w:r>
      <w:r>
        <w:rPr>
          <w:rFonts w:ascii="Arial" w:hAnsi="Arial" w:cs="Arial"/>
          <w:sz w:val="22"/>
          <w:szCs w:val="22"/>
        </w:rPr>
        <w:t xml:space="preserve"> de la Corporación</w:t>
      </w:r>
      <w:r w:rsidR="000D3CBD">
        <w:rPr>
          <w:rFonts w:ascii="Arial" w:hAnsi="Arial" w:cs="Arial"/>
          <w:sz w:val="22"/>
          <w:szCs w:val="22"/>
        </w:rPr>
        <w:t xml:space="preserve">. </w:t>
      </w:r>
    </w:p>
    <w:p w:rsidR="008C0F21" w:rsidRPr="00652F6F" w:rsidRDefault="002249CB" w:rsidP="00636BAE">
      <w:pPr>
        <w:widowControl w:val="0"/>
        <w:autoSpaceDE w:val="0"/>
        <w:autoSpaceDN w:val="0"/>
        <w:adjustRightInd w:val="0"/>
        <w:spacing w:after="160"/>
        <w:ind w:firstLine="709"/>
        <w:rPr>
          <w:rFonts w:ascii="Arial" w:hAnsi="Arial" w:cs="Arial"/>
          <w:sz w:val="22"/>
          <w:szCs w:val="22"/>
        </w:rPr>
      </w:pPr>
      <w:r w:rsidRPr="00AC5733">
        <w:rPr>
          <w:rFonts w:ascii="Arial" w:hAnsi="Arial" w:cs="Arial"/>
          <w:b/>
          <w:sz w:val="22"/>
          <w:szCs w:val="22"/>
        </w:rPr>
        <w:t>CUARTO</w:t>
      </w:r>
      <w:r w:rsidR="008C0F21" w:rsidRPr="00652F6F">
        <w:rPr>
          <w:rFonts w:ascii="Arial" w:hAnsi="Arial" w:cs="Arial"/>
          <w:sz w:val="22"/>
          <w:szCs w:val="22"/>
        </w:rPr>
        <w:t>.</w:t>
      </w:r>
      <w:r w:rsidR="003C1DF5" w:rsidRPr="00652F6F">
        <w:rPr>
          <w:rFonts w:ascii="Arial" w:hAnsi="Arial" w:cs="Arial"/>
          <w:sz w:val="22"/>
          <w:szCs w:val="22"/>
        </w:rPr>
        <w:t xml:space="preserve"> </w:t>
      </w:r>
      <w:r w:rsidR="008C0F21" w:rsidRPr="00652F6F">
        <w:rPr>
          <w:rFonts w:ascii="Arial" w:hAnsi="Arial" w:cs="Arial"/>
          <w:sz w:val="22"/>
          <w:szCs w:val="22"/>
        </w:rPr>
        <w:t xml:space="preserve"> El Estado de </w:t>
      </w:r>
      <w:smartTag w:uri="urn:schemas-microsoft-com:office:smarttags" w:element="PersonName">
        <w:smartTagPr>
          <w:attr w:name="ProductID" w:val="la Liquidaci￳n"/>
        </w:smartTagPr>
        <w:r w:rsidR="008C0F21" w:rsidRPr="00652F6F">
          <w:rPr>
            <w:rFonts w:ascii="Arial" w:hAnsi="Arial" w:cs="Arial"/>
            <w:sz w:val="22"/>
            <w:szCs w:val="22"/>
          </w:rPr>
          <w:t>la Liquidación</w:t>
        </w:r>
      </w:smartTag>
      <w:r w:rsidR="008C0F21" w:rsidRPr="00652F6F">
        <w:rPr>
          <w:rFonts w:ascii="Arial" w:hAnsi="Arial" w:cs="Arial"/>
          <w:sz w:val="22"/>
          <w:szCs w:val="22"/>
        </w:rPr>
        <w:t xml:space="preserve"> del Presupuesto estará compuesta por:</w:t>
      </w:r>
    </w:p>
    <w:p w:rsidR="008C0F21" w:rsidRPr="00652F6F" w:rsidRDefault="008C0F21" w:rsidP="002249CB">
      <w:pPr>
        <w:widowControl w:val="0"/>
        <w:numPr>
          <w:ilvl w:val="0"/>
          <w:numId w:val="2"/>
        </w:numPr>
        <w:autoSpaceDE w:val="0"/>
        <w:autoSpaceDN w:val="0"/>
        <w:adjustRightInd w:val="0"/>
        <w:ind w:left="1559" w:hanging="357"/>
        <w:jc w:val="both"/>
        <w:rPr>
          <w:rFonts w:ascii="Arial" w:hAnsi="Arial" w:cs="Arial"/>
          <w:sz w:val="22"/>
          <w:szCs w:val="22"/>
        </w:rPr>
      </w:pPr>
      <w:r w:rsidRPr="00652F6F">
        <w:rPr>
          <w:rFonts w:ascii="Arial" w:hAnsi="Arial" w:cs="Arial"/>
          <w:sz w:val="22"/>
          <w:szCs w:val="22"/>
        </w:rPr>
        <w:t>Liquidación del presupuesto de gastos.</w:t>
      </w:r>
    </w:p>
    <w:p w:rsidR="008C0F21" w:rsidRPr="00652F6F" w:rsidRDefault="008C0F21" w:rsidP="002249CB">
      <w:pPr>
        <w:widowControl w:val="0"/>
        <w:numPr>
          <w:ilvl w:val="0"/>
          <w:numId w:val="2"/>
        </w:numPr>
        <w:autoSpaceDE w:val="0"/>
        <w:autoSpaceDN w:val="0"/>
        <w:adjustRightInd w:val="0"/>
        <w:ind w:left="1559" w:hanging="357"/>
        <w:jc w:val="both"/>
        <w:rPr>
          <w:rFonts w:ascii="Arial" w:hAnsi="Arial" w:cs="Arial"/>
          <w:sz w:val="22"/>
          <w:szCs w:val="22"/>
        </w:rPr>
      </w:pPr>
      <w:r w:rsidRPr="00652F6F">
        <w:rPr>
          <w:rFonts w:ascii="Arial" w:hAnsi="Arial" w:cs="Arial"/>
          <w:sz w:val="22"/>
          <w:szCs w:val="22"/>
        </w:rPr>
        <w:t>Liquidación del presupuesto de ingresos</w:t>
      </w:r>
    </w:p>
    <w:p w:rsidR="008C0F21" w:rsidRPr="00652F6F" w:rsidRDefault="008C0F21" w:rsidP="002249CB">
      <w:pPr>
        <w:widowControl w:val="0"/>
        <w:numPr>
          <w:ilvl w:val="0"/>
          <w:numId w:val="2"/>
        </w:numPr>
        <w:autoSpaceDE w:val="0"/>
        <w:autoSpaceDN w:val="0"/>
        <w:adjustRightInd w:val="0"/>
        <w:ind w:left="1560"/>
        <w:jc w:val="both"/>
        <w:rPr>
          <w:rFonts w:ascii="Arial" w:hAnsi="Arial" w:cs="Arial"/>
          <w:sz w:val="22"/>
          <w:szCs w:val="22"/>
        </w:rPr>
      </w:pPr>
      <w:r w:rsidRPr="00652F6F">
        <w:rPr>
          <w:rFonts w:ascii="Arial" w:hAnsi="Arial" w:cs="Arial"/>
          <w:sz w:val="22"/>
          <w:szCs w:val="22"/>
        </w:rPr>
        <w:t>Resultado presupuestario.</w:t>
      </w:r>
    </w:p>
    <w:p w:rsidR="007F626C" w:rsidRPr="00652F6F" w:rsidRDefault="007F626C" w:rsidP="003C1DF5">
      <w:pPr>
        <w:widowControl w:val="0"/>
        <w:autoSpaceDE w:val="0"/>
        <w:autoSpaceDN w:val="0"/>
        <w:adjustRightInd w:val="0"/>
        <w:spacing w:line="240" w:lineRule="atLeast"/>
        <w:ind w:left="720"/>
        <w:jc w:val="both"/>
        <w:rPr>
          <w:rFonts w:ascii="Arial" w:hAnsi="Arial" w:cs="Arial"/>
          <w:sz w:val="22"/>
          <w:szCs w:val="22"/>
        </w:rPr>
      </w:pPr>
    </w:p>
    <w:p w:rsidR="003C1DF5" w:rsidRPr="00DC66A5" w:rsidRDefault="00C534F3" w:rsidP="008965D7">
      <w:pPr>
        <w:pStyle w:val="NormalWeb"/>
        <w:shd w:val="clear" w:color="auto" w:fill="FFFFFF"/>
        <w:spacing w:before="0" w:beforeAutospacing="0" w:after="120" w:afterAutospacing="0"/>
        <w:jc w:val="both"/>
        <w:rPr>
          <w:rFonts w:ascii="Arial" w:hAnsi="Arial" w:cs="Arial"/>
          <w:snapToGrid w:val="0"/>
          <w:sz w:val="22"/>
          <w:szCs w:val="22"/>
          <w:lang w:val="es-ES_tradnl"/>
        </w:rPr>
      </w:pPr>
      <w:bookmarkStart w:id="0" w:name="a93"/>
      <w:r>
        <w:rPr>
          <w:rStyle w:val="Textoennegrita"/>
          <w:rFonts w:ascii="Arial" w:hAnsi="Arial" w:cs="Arial"/>
          <w:b w:val="0"/>
          <w:sz w:val="22"/>
          <w:szCs w:val="22"/>
        </w:rPr>
        <w:tab/>
      </w:r>
      <w:r w:rsidR="008C0F21" w:rsidRPr="00DC66A5">
        <w:rPr>
          <w:rStyle w:val="Textoennegrita"/>
          <w:rFonts w:ascii="Arial" w:hAnsi="Arial" w:cs="Arial"/>
          <w:b w:val="0"/>
          <w:sz w:val="22"/>
          <w:szCs w:val="22"/>
        </w:rPr>
        <w:t xml:space="preserve">Conforme al artículo 93 </w:t>
      </w:r>
      <w:r w:rsidR="00636BAE">
        <w:rPr>
          <w:rStyle w:val="Textoennegrita"/>
          <w:rFonts w:ascii="Arial" w:hAnsi="Arial" w:cs="Arial"/>
          <w:b w:val="0"/>
          <w:sz w:val="22"/>
          <w:szCs w:val="22"/>
        </w:rPr>
        <w:t>RD</w:t>
      </w:r>
      <w:r w:rsidR="008C0F21" w:rsidRPr="00DC66A5">
        <w:rPr>
          <w:rFonts w:ascii="Arial" w:hAnsi="Arial" w:cs="Arial"/>
          <w:snapToGrid w:val="0"/>
          <w:sz w:val="22"/>
          <w:szCs w:val="22"/>
          <w:lang w:val="es-ES_tradnl"/>
        </w:rPr>
        <w:t xml:space="preserve"> 500/1990</w:t>
      </w:r>
      <w:bookmarkEnd w:id="0"/>
      <w:r w:rsidR="008C0F21" w:rsidRPr="00DC66A5">
        <w:rPr>
          <w:rFonts w:ascii="Arial" w:hAnsi="Arial" w:cs="Arial"/>
          <w:snapToGrid w:val="0"/>
          <w:sz w:val="22"/>
          <w:szCs w:val="22"/>
          <w:lang w:val="es-ES_tradnl"/>
        </w:rPr>
        <w:t>:</w:t>
      </w:r>
    </w:p>
    <w:p w:rsidR="008C0F21" w:rsidRPr="00DC66A5" w:rsidRDefault="00C534F3" w:rsidP="008965D7">
      <w:pPr>
        <w:pStyle w:val="NormalWeb"/>
        <w:shd w:val="clear" w:color="auto" w:fill="FFFFFF"/>
        <w:spacing w:before="0" w:beforeAutospacing="0" w:after="120" w:afterAutospacing="0"/>
        <w:jc w:val="both"/>
        <w:rPr>
          <w:rFonts w:ascii="Arial" w:hAnsi="Arial" w:cs="Arial"/>
          <w:sz w:val="22"/>
          <w:szCs w:val="22"/>
        </w:rPr>
      </w:pPr>
      <w:r>
        <w:rPr>
          <w:rFonts w:ascii="Arial" w:hAnsi="Arial" w:cs="Arial"/>
          <w:sz w:val="22"/>
          <w:szCs w:val="22"/>
        </w:rPr>
        <w:tab/>
      </w:r>
      <w:r w:rsidR="003C1DF5" w:rsidRPr="00DC66A5">
        <w:rPr>
          <w:rFonts w:ascii="Arial" w:hAnsi="Arial" w:cs="Arial"/>
          <w:sz w:val="22"/>
          <w:szCs w:val="22"/>
        </w:rPr>
        <w:t xml:space="preserve">1.- </w:t>
      </w:r>
      <w:r w:rsidR="008C0F21" w:rsidRPr="00DC66A5">
        <w:rPr>
          <w:rFonts w:ascii="Arial" w:hAnsi="Arial" w:cs="Arial"/>
          <w:sz w:val="22"/>
          <w:szCs w:val="22"/>
        </w:rPr>
        <w:t>La liquidación del presupuesto pondrá de manifiesto:</w:t>
      </w:r>
    </w:p>
    <w:p w:rsidR="008C0F21" w:rsidRPr="00DC66A5" w:rsidRDefault="008C0F21" w:rsidP="008965D7">
      <w:pPr>
        <w:pStyle w:val="NormalWeb"/>
        <w:shd w:val="clear" w:color="auto" w:fill="FFFFFF"/>
        <w:spacing w:before="0" w:beforeAutospacing="0" w:after="120" w:afterAutospacing="0"/>
        <w:jc w:val="both"/>
        <w:rPr>
          <w:rFonts w:ascii="Arial" w:hAnsi="Arial" w:cs="Arial"/>
          <w:sz w:val="22"/>
          <w:szCs w:val="22"/>
        </w:rPr>
      </w:pPr>
      <w:r w:rsidRPr="00DC66A5">
        <w:rPr>
          <w:rFonts w:ascii="Arial" w:hAnsi="Arial" w:cs="Arial"/>
          <w:sz w:val="22"/>
          <w:szCs w:val="22"/>
        </w:rPr>
        <w:tab/>
        <w:t xml:space="preserve">a. </w:t>
      </w:r>
      <w:r w:rsidRPr="00A01D74">
        <w:rPr>
          <w:rFonts w:ascii="Arial" w:hAnsi="Arial" w:cs="Arial"/>
          <w:sz w:val="22"/>
          <w:szCs w:val="22"/>
        </w:rPr>
        <w:t>Respecto del presupuesto de gastos</w:t>
      </w:r>
      <w:r w:rsidRPr="00DC66A5">
        <w:rPr>
          <w:rFonts w:ascii="Arial" w:hAnsi="Arial" w:cs="Arial"/>
          <w:sz w:val="22"/>
          <w:szCs w:val="22"/>
        </w:rPr>
        <w:t>, y para cada partida presupuestaria, los créditos iniciales, sus modificaciones y los créditos definitivos, los gastos autorizados y comprometidos, las obligaciones reconocidas, los pagos ordenados y los pagos realizados.</w:t>
      </w:r>
    </w:p>
    <w:p w:rsidR="008C0F21" w:rsidRPr="00DC66A5" w:rsidRDefault="008C0F21" w:rsidP="008965D7">
      <w:pPr>
        <w:pStyle w:val="NormalWeb"/>
        <w:shd w:val="clear" w:color="auto" w:fill="FFFFFF"/>
        <w:spacing w:before="0" w:beforeAutospacing="0" w:after="120" w:afterAutospacing="0"/>
        <w:jc w:val="both"/>
        <w:rPr>
          <w:rFonts w:ascii="Arial" w:hAnsi="Arial" w:cs="Arial"/>
          <w:sz w:val="22"/>
          <w:szCs w:val="22"/>
        </w:rPr>
      </w:pPr>
      <w:r w:rsidRPr="00DC66A5">
        <w:rPr>
          <w:rFonts w:ascii="Arial" w:hAnsi="Arial" w:cs="Arial"/>
          <w:sz w:val="22"/>
          <w:szCs w:val="22"/>
        </w:rPr>
        <w:lastRenderedPageBreak/>
        <w:tab/>
        <w:t xml:space="preserve">b. </w:t>
      </w:r>
      <w:r w:rsidRPr="00A01D74">
        <w:rPr>
          <w:rFonts w:ascii="Arial" w:hAnsi="Arial" w:cs="Arial"/>
          <w:sz w:val="22"/>
          <w:szCs w:val="22"/>
        </w:rPr>
        <w:t>Respecto del presupuesto de ingresos</w:t>
      </w:r>
      <w:r w:rsidRPr="00DC66A5">
        <w:rPr>
          <w:rFonts w:ascii="Arial" w:hAnsi="Arial" w:cs="Arial"/>
          <w:sz w:val="22"/>
          <w:szCs w:val="22"/>
        </w:rPr>
        <w:t>, y para cada concepto, las previsiones iniciales, sus modificaciones y las previsiones definitivas los derechos reconocidos y anulados así como los recaudados netos.</w:t>
      </w:r>
    </w:p>
    <w:p w:rsidR="008C0F21" w:rsidRPr="00DC66A5" w:rsidRDefault="00C534F3" w:rsidP="008965D7">
      <w:pPr>
        <w:pStyle w:val="NormalWeb"/>
        <w:shd w:val="clear" w:color="auto" w:fill="FFFFFF"/>
        <w:spacing w:before="0" w:beforeAutospacing="0" w:after="120" w:afterAutospacing="0"/>
        <w:jc w:val="both"/>
        <w:rPr>
          <w:rFonts w:ascii="Arial" w:hAnsi="Arial" w:cs="Arial"/>
          <w:sz w:val="22"/>
          <w:szCs w:val="22"/>
        </w:rPr>
      </w:pPr>
      <w:r>
        <w:rPr>
          <w:rFonts w:ascii="Arial" w:hAnsi="Arial" w:cs="Arial"/>
          <w:sz w:val="22"/>
          <w:szCs w:val="22"/>
        </w:rPr>
        <w:tab/>
      </w:r>
      <w:r w:rsidR="003C1DF5" w:rsidRPr="00DC66A5">
        <w:rPr>
          <w:rFonts w:ascii="Arial" w:hAnsi="Arial" w:cs="Arial"/>
          <w:sz w:val="22"/>
          <w:szCs w:val="22"/>
        </w:rPr>
        <w:t xml:space="preserve"> 2.- </w:t>
      </w:r>
      <w:r w:rsidR="008C0F21" w:rsidRPr="00DC66A5">
        <w:rPr>
          <w:rFonts w:ascii="Arial" w:hAnsi="Arial" w:cs="Arial"/>
          <w:sz w:val="22"/>
          <w:szCs w:val="22"/>
        </w:rPr>
        <w:t>Como consecuencia de la liquidación del presupuesto deberán determinarse:</w:t>
      </w:r>
    </w:p>
    <w:p w:rsidR="008C0F21" w:rsidRPr="00DC66A5" w:rsidRDefault="008C0F21" w:rsidP="008965D7">
      <w:pPr>
        <w:pStyle w:val="NormalWeb"/>
        <w:shd w:val="clear" w:color="auto" w:fill="FFFFFF"/>
        <w:spacing w:before="0" w:beforeAutospacing="0" w:after="120" w:afterAutospacing="0"/>
        <w:jc w:val="both"/>
        <w:rPr>
          <w:rFonts w:ascii="Arial" w:hAnsi="Arial" w:cs="Arial"/>
          <w:sz w:val="22"/>
          <w:szCs w:val="22"/>
        </w:rPr>
      </w:pPr>
      <w:r w:rsidRPr="00DC66A5">
        <w:rPr>
          <w:rFonts w:ascii="Arial" w:hAnsi="Arial" w:cs="Arial"/>
          <w:sz w:val="22"/>
          <w:szCs w:val="22"/>
        </w:rPr>
        <w:tab/>
        <w:t>a. Los derechos pendientes de cobro y las obligaciones pendientes de pago  a 31 de diciembre.</w:t>
      </w:r>
    </w:p>
    <w:p w:rsidR="008C0F21" w:rsidRPr="00DC66A5" w:rsidRDefault="008C0F21" w:rsidP="008965D7">
      <w:pPr>
        <w:pStyle w:val="NormalWeb"/>
        <w:numPr>
          <w:ilvl w:val="0"/>
          <w:numId w:val="3"/>
        </w:numPr>
        <w:shd w:val="clear" w:color="auto" w:fill="FFFFFF"/>
        <w:spacing w:before="0" w:beforeAutospacing="0" w:after="120" w:afterAutospacing="0"/>
        <w:jc w:val="both"/>
        <w:rPr>
          <w:rFonts w:ascii="Arial" w:hAnsi="Arial" w:cs="Arial"/>
          <w:sz w:val="22"/>
          <w:szCs w:val="22"/>
        </w:rPr>
      </w:pPr>
      <w:r w:rsidRPr="00DC66A5">
        <w:rPr>
          <w:rFonts w:ascii="Arial" w:hAnsi="Arial" w:cs="Arial"/>
          <w:sz w:val="22"/>
          <w:szCs w:val="22"/>
        </w:rPr>
        <w:t>El resultado presupuestario del ejercicio.</w:t>
      </w:r>
    </w:p>
    <w:p w:rsidR="008C0F21" w:rsidRPr="00DC66A5" w:rsidRDefault="008C0F21" w:rsidP="008965D7">
      <w:pPr>
        <w:pStyle w:val="NormalWeb"/>
        <w:numPr>
          <w:ilvl w:val="0"/>
          <w:numId w:val="3"/>
        </w:numPr>
        <w:shd w:val="clear" w:color="auto" w:fill="FFFFFF"/>
        <w:spacing w:before="0" w:beforeAutospacing="0" w:after="120" w:afterAutospacing="0"/>
        <w:jc w:val="both"/>
        <w:rPr>
          <w:rFonts w:ascii="Arial" w:hAnsi="Arial" w:cs="Arial"/>
          <w:sz w:val="22"/>
          <w:szCs w:val="22"/>
        </w:rPr>
      </w:pPr>
      <w:r w:rsidRPr="00DC66A5">
        <w:rPr>
          <w:rFonts w:ascii="Arial" w:hAnsi="Arial" w:cs="Arial"/>
          <w:sz w:val="22"/>
          <w:szCs w:val="22"/>
        </w:rPr>
        <w:t>Los remanentes de crédito.</w:t>
      </w:r>
    </w:p>
    <w:p w:rsidR="003C1DF5" w:rsidRDefault="008C0F21" w:rsidP="008965D7">
      <w:pPr>
        <w:pStyle w:val="NormalWeb"/>
        <w:numPr>
          <w:ilvl w:val="0"/>
          <w:numId w:val="3"/>
        </w:numPr>
        <w:shd w:val="clear" w:color="auto" w:fill="FFFFFF"/>
        <w:spacing w:before="0" w:beforeAutospacing="0" w:after="120" w:afterAutospacing="0"/>
        <w:jc w:val="both"/>
        <w:rPr>
          <w:rFonts w:ascii="Arial" w:hAnsi="Arial" w:cs="Arial"/>
          <w:sz w:val="22"/>
          <w:szCs w:val="22"/>
        </w:rPr>
      </w:pPr>
      <w:r w:rsidRPr="00DC66A5">
        <w:rPr>
          <w:rFonts w:ascii="Arial" w:hAnsi="Arial" w:cs="Arial"/>
          <w:sz w:val="22"/>
          <w:szCs w:val="22"/>
        </w:rPr>
        <w:t>El remanente de tesorería.</w:t>
      </w:r>
    </w:p>
    <w:p w:rsidR="005150F2" w:rsidRDefault="008965D7" w:rsidP="00A84F07">
      <w:pPr>
        <w:pStyle w:val="NormalWeb"/>
        <w:shd w:val="clear" w:color="auto" w:fill="FFFFFF"/>
        <w:spacing w:before="0" w:beforeAutospacing="0" w:after="160" w:afterAutospacing="0"/>
        <w:jc w:val="both"/>
        <w:rPr>
          <w:rFonts w:ascii="Arial" w:hAnsi="Arial" w:cs="Arial"/>
          <w:sz w:val="22"/>
          <w:szCs w:val="22"/>
        </w:rPr>
      </w:pPr>
      <w:r>
        <w:rPr>
          <w:rFonts w:ascii="Arial" w:hAnsi="Arial" w:cs="Arial"/>
          <w:sz w:val="22"/>
          <w:szCs w:val="22"/>
        </w:rPr>
        <w:tab/>
      </w:r>
      <w:r w:rsidR="003C1DF5" w:rsidRPr="00D077BE">
        <w:rPr>
          <w:rFonts w:ascii="Arial" w:hAnsi="Arial" w:cs="Arial"/>
          <w:sz w:val="22"/>
          <w:szCs w:val="22"/>
        </w:rPr>
        <w:t xml:space="preserve">En caso de liquidación del presupuesto </w:t>
      </w:r>
      <w:r w:rsidR="003C1DF5" w:rsidRPr="00FB04AF">
        <w:rPr>
          <w:rFonts w:ascii="Arial" w:hAnsi="Arial" w:cs="Arial"/>
          <w:sz w:val="22"/>
          <w:szCs w:val="22"/>
        </w:rPr>
        <w:t xml:space="preserve">con </w:t>
      </w:r>
      <w:r w:rsidR="003C1DF5" w:rsidRPr="00A01D74">
        <w:rPr>
          <w:rFonts w:ascii="Arial" w:hAnsi="Arial" w:cs="Arial"/>
          <w:sz w:val="22"/>
          <w:szCs w:val="22"/>
        </w:rPr>
        <w:t>remanente de tesorería negativo</w:t>
      </w:r>
      <w:r w:rsidR="003C1DF5" w:rsidRPr="00D077BE">
        <w:rPr>
          <w:rFonts w:ascii="Arial" w:hAnsi="Arial" w:cs="Arial"/>
          <w:sz w:val="22"/>
          <w:szCs w:val="22"/>
        </w:rPr>
        <w:t xml:space="preserve">, el Pleno de la corporación o el órgano competente del organismo autónomo, según corresponda, deberán proceder, en la primera sesión que celebren, </w:t>
      </w:r>
      <w:r w:rsidR="00916713" w:rsidRPr="00D077BE">
        <w:rPr>
          <w:rFonts w:ascii="Arial" w:hAnsi="Arial" w:cs="Arial"/>
          <w:sz w:val="22"/>
          <w:szCs w:val="22"/>
        </w:rPr>
        <w:t xml:space="preserve">a adoptar </w:t>
      </w:r>
      <w:r w:rsidR="00916713" w:rsidRPr="00D077BE">
        <w:rPr>
          <w:rFonts w:ascii="Arial" w:eastAsia="Calibri" w:hAnsi="Arial" w:cs="Arial"/>
          <w:sz w:val="22"/>
          <w:szCs w:val="22"/>
        </w:rPr>
        <w:t>alguna de las medidas que se contemplan en el artículo 193</w:t>
      </w:r>
      <w:r w:rsidR="00B541FF">
        <w:rPr>
          <w:rFonts w:ascii="Arial" w:hAnsi="Arial" w:cs="Arial"/>
          <w:sz w:val="22"/>
          <w:szCs w:val="22"/>
        </w:rPr>
        <w:t xml:space="preserve"> </w:t>
      </w:r>
      <w:r w:rsidR="00636BAE">
        <w:rPr>
          <w:rFonts w:ascii="Arial" w:hAnsi="Arial" w:cs="Arial"/>
          <w:sz w:val="22"/>
          <w:szCs w:val="22"/>
        </w:rPr>
        <w:t>TRLRHL.</w:t>
      </w:r>
    </w:p>
    <w:p w:rsidR="008C0F21" w:rsidRPr="00DC66A5" w:rsidRDefault="00916713" w:rsidP="00636BAE">
      <w:pPr>
        <w:widowControl w:val="0"/>
        <w:autoSpaceDE w:val="0"/>
        <w:autoSpaceDN w:val="0"/>
        <w:adjustRightInd w:val="0"/>
        <w:spacing w:after="160"/>
        <w:ind w:firstLine="709"/>
        <w:jc w:val="both"/>
        <w:rPr>
          <w:rFonts w:ascii="Arial" w:hAnsi="Arial" w:cs="Arial"/>
          <w:sz w:val="22"/>
          <w:szCs w:val="22"/>
        </w:rPr>
      </w:pPr>
      <w:r w:rsidRPr="00AC5733">
        <w:rPr>
          <w:rFonts w:ascii="Arial" w:hAnsi="Arial" w:cs="Arial"/>
          <w:b/>
          <w:sz w:val="22"/>
          <w:szCs w:val="22"/>
        </w:rPr>
        <w:t>QUINTO</w:t>
      </w:r>
      <w:r w:rsidR="00A846E9">
        <w:rPr>
          <w:rFonts w:ascii="Arial" w:hAnsi="Arial" w:cs="Arial"/>
          <w:sz w:val="22"/>
          <w:szCs w:val="22"/>
        </w:rPr>
        <w:t xml:space="preserve">. </w:t>
      </w:r>
      <w:r w:rsidR="008C0F21" w:rsidRPr="00DC66A5">
        <w:rPr>
          <w:rFonts w:ascii="Arial" w:hAnsi="Arial" w:cs="Arial"/>
          <w:sz w:val="22"/>
          <w:szCs w:val="22"/>
        </w:rPr>
        <w:t xml:space="preserve">Examinada la documentación relativa a </w:t>
      </w:r>
      <w:r w:rsidR="00652F6F">
        <w:rPr>
          <w:rFonts w:ascii="Arial" w:hAnsi="Arial" w:cs="Arial"/>
          <w:sz w:val="22"/>
          <w:szCs w:val="22"/>
        </w:rPr>
        <w:t xml:space="preserve">la Liquidación </w:t>
      </w:r>
      <w:r w:rsidR="008C0F21" w:rsidRPr="00DC66A5">
        <w:rPr>
          <w:rFonts w:ascii="Arial" w:hAnsi="Arial" w:cs="Arial"/>
          <w:sz w:val="22"/>
          <w:szCs w:val="22"/>
        </w:rPr>
        <w:t xml:space="preserve">del Presupuesto correspondiente al ejercicio de </w:t>
      </w:r>
      <w:r w:rsidR="002C2F14" w:rsidRPr="002C2F14">
        <w:rPr>
          <w:rFonts w:ascii="Arial" w:hAnsi="Arial" w:cs="Arial"/>
          <w:b/>
          <w:color w:val="0000FF"/>
          <w:sz w:val="22"/>
          <w:szCs w:val="22"/>
        </w:rPr>
        <w:t>xxxxx</w:t>
      </w:r>
      <w:r w:rsidR="002C2F14">
        <w:rPr>
          <w:rFonts w:ascii="Arial" w:hAnsi="Arial" w:cs="Arial"/>
          <w:sz w:val="22"/>
          <w:szCs w:val="22"/>
        </w:rPr>
        <w:t xml:space="preserve">, </w:t>
      </w:r>
      <w:r w:rsidR="008C0F21" w:rsidRPr="00DC66A5">
        <w:rPr>
          <w:rFonts w:ascii="Arial" w:hAnsi="Arial" w:cs="Arial"/>
          <w:sz w:val="22"/>
          <w:szCs w:val="22"/>
        </w:rPr>
        <w:t xml:space="preserve">se comprueba que: </w:t>
      </w:r>
    </w:p>
    <w:p w:rsidR="008C0F21" w:rsidRPr="00DC66A5" w:rsidRDefault="008C0F21" w:rsidP="008C0F21">
      <w:pPr>
        <w:widowControl w:val="0"/>
        <w:autoSpaceDE w:val="0"/>
        <w:autoSpaceDN w:val="0"/>
        <w:adjustRightInd w:val="0"/>
        <w:spacing w:line="240" w:lineRule="atLeast"/>
        <w:ind w:firstLine="720"/>
        <w:jc w:val="both"/>
        <w:rPr>
          <w:rFonts w:ascii="Arial" w:hAnsi="Arial" w:cs="Arial"/>
          <w:sz w:val="22"/>
          <w:szCs w:val="22"/>
        </w:rPr>
      </w:pPr>
      <w:r w:rsidRPr="00DC66A5">
        <w:rPr>
          <w:rFonts w:ascii="Arial" w:hAnsi="Arial" w:cs="Arial"/>
          <w:sz w:val="22"/>
          <w:szCs w:val="22"/>
        </w:rPr>
        <w:t>1º.- Los estados que integran la Liquidación del Presupuesto, se ajusta</w:t>
      </w:r>
      <w:r w:rsidR="007E2DC3">
        <w:rPr>
          <w:rFonts w:ascii="Arial" w:hAnsi="Arial" w:cs="Arial"/>
          <w:sz w:val="22"/>
          <w:szCs w:val="22"/>
        </w:rPr>
        <w:t>n</w:t>
      </w:r>
      <w:r w:rsidRPr="00DC66A5">
        <w:rPr>
          <w:rFonts w:ascii="Arial" w:hAnsi="Arial" w:cs="Arial"/>
          <w:sz w:val="22"/>
          <w:szCs w:val="22"/>
        </w:rPr>
        <w:t xml:space="preserve"> a la estructura prevista en modelos que se </w:t>
      </w:r>
      <w:r w:rsidRPr="00916713">
        <w:rPr>
          <w:rFonts w:ascii="Arial" w:hAnsi="Arial" w:cs="Arial"/>
          <w:sz w:val="22"/>
          <w:szCs w:val="22"/>
        </w:rPr>
        <w:t xml:space="preserve">establecen en la </w:t>
      </w:r>
      <w:r w:rsidR="00F265B4" w:rsidRPr="00916713">
        <w:rPr>
          <w:rFonts w:ascii="Arial" w:hAnsi="Arial" w:cs="Arial"/>
          <w:sz w:val="22"/>
          <w:szCs w:val="22"/>
        </w:rPr>
        <w:t xml:space="preserve"> Tercera </w:t>
      </w:r>
      <w:r w:rsidRPr="00916713">
        <w:rPr>
          <w:rFonts w:ascii="Arial" w:hAnsi="Arial" w:cs="Arial"/>
          <w:sz w:val="22"/>
          <w:szCs w:val="22"/>
        </w:rPr>
        <w:t xml:space="preserve">parte del Plan General de Contabilidad Pública adaptado a la Administración local anexo a la Instrucción aprobada por </w:t>
      </w:r>
      <w:r w:rsidR="005C75F9" w:rsidRPr="00916713">
        <w:rPr>
          <w:rFonts w:ascii="Arial" w:hAnsi="Arial" w:cs="Arial"/>
          <w:sz w:val="22"/>
          <w:szCs w:val="22"/>
        </w:rPr>
        <w:t>orden HAP/1781/2013, de 20 de septiembre.</w:t>
      </w:r>
    </w:p>
    <w:p w:rsidR="008C0F21" w:rsidRPr="00DC66A5" w:rsidRDefault="008C0F21" w:rsidP="008C0F21">
      <w:pPr>
        <w:widowControl w:val="0"/>
        <w:autoSpaceDE w:val="0"/>
        <w:autoSpaceDN w:val="0"/>
        <w:adjustRightInd w:val="0"/>
        <w:spacing w:line="240" w:lineRule="atLeast"/>
        <w:jc w:val="both"/>
        <w:rPr>
          <w:rFonts w:ascii="Arial" w:hAnsi="Arial" w:cs="Arial"/>
          <w:sz w:val="22"/>
          <w:szCs w:val="22"/>
        </w:rPr>
      </w:pPr>
    </w:p>
    <w:p w:rsidR="008C0F21" w:rsidRPr="00DC66A5" w:rsidRDefault="008C0F21" w:rsidP="008C0F21">
      <w:pPr>
        <w:widowControl w:val="0"/>
        <w:autoSpaceDE w:val="0"/>
        <w:autoSpaceDN w:val="0"/>
        <w:adjustRightInd w:val="0"/>
        <w:spacing w:line="240" w:lineRule="atLeast"/>
        <w:ind w:firstLine="720"/>
        <w:jc w:val="both"/>
        <w:rPr>
          <w:rFonts w:ascii="Arial" w:hAnsi="Arial" w:cs="Arial"/>
          <w:sz w:val="22"/>
          <w:szCs w:val="22"/>
        </w:rPr>
      </w:pPr>
      <w:r w:rsidRPr="00DC66A5">
        <w:rPr>
          <w:rFonts w:ascii="Arial" w:hAnsi="Arial" w:cs="Arial"/>
          <w:sz w:val="22"/>
          <w:szCs w:val="22"/>
        </w:rPr>
        <w:t>2º.- En dicha Liquidación se pone de manifiesto la información exigida por el artículo 93 del R.D. 500/1990</w:t>
      </w:r>
      <w:r w:rsidR="00B5573E">
        <w:rPr>
          <w:rFonts w:ascii="Arial" w:hAnsi="Arial" w:cs="Arial"/>
          <w:sz w:val="22"/>
          <w:szCs w:val="22"/>
        </w:rPr>
        <w:t>.</w:t>
      </w:r>
    </w:p>
    <w:p w:rsidR="008C0F21" w:rsidRPr="00DC66A5" w:rsidRDefault="008C0F21" w:rsidP="008C0F21">
      <w:pPr>
        <w:widowControl w:val="0"/>
        <w:autoSpaceDE w:val="0"/>
        <w:autoSpaceDN w:val="0"/>
        <w:adjustRightInd w:val="0"/>
        <w:spacing w:line="240" w:lineRule="atLeast"/>
        <w:jc w:val="both"/>
        <w:rPr>
          <w:rFonts w:ascii="Arial" w:hAnsi="Arial" w:cs="Arial"/>
          <w:sz w:val="22"/>
          <w:szCs w:val="22"/>
        </w:rPr>
      </w:pPr>
    </w:p>
    <w:p w:rsidR="008C0F21" w:rsidRDefault="008C0F21" w:rsidP="008C0F21">
      <w:pPr>
        <w:widowControl w:val="0"/>
        <w:autoSpaceDE w:val="0"/>
        <w:autoSpaceDN w:val="0"/>
        <w:adjustRightInd w:val="0"/>
        <w:spacing w:line="240" w:lineRule="atLeast"/>
        <w:jc w:val="both"/>
        <w:rPr>
          <w:rFonts w:ascii="Arial" w:hAnsi="Arial" w:cs="Arial"/>
          <w:sz w:val="22"/>
          <w:szCs w:val="22"/>
        </w:rPr>
      </w:pPr>
      <w:r w:rsidRPr="00DC66A5">
        <w:rPr>
          <w:rFonts w:ascii="Arial" w:hAnsi="Arial" w:cs="Arial"/>
          <w:sz w:val="22"/>
          <w:szCs w:val="22"/>
        </w:rPr>
        <w:tab/>
        <w:t xml:space="preserve">3º.- Contrastados los datos que obran en </w:t>
      </w:r>
      <w:smartTag w:uri="urn:schemas-microsoft-com:office:smarttags" w:element="PersonName">
        <w:smartTagPr>
          <w:attr w:name="ProductID" w:val="la Contabilidad"/>
        </w:smartTagPr>
        <w:r w:rsidRPr="00DC66A5">
          <w:rPr>
            <w:rFonts w:ascii="Arial" w:hAnsi="Arial" w:cs="Arial"/>
            <w:sz w:val="22"/>
            <w:szCs w:val="22"/>
          </w:rPr>
          <w:t>la Contabilidad</w:t>
        </w:r>
      </w:smartTag>
      <w:r w:rsidRPr="00DC66A5">
        <w:rPr>
          <w:rFonts w:ascii="Arial" w:hAnsi="Arial" w:cs="Arial"/>
          <w:sz w:val="22"/>
          <w:szCs w:val="22"/>
        </w:rPr>
        <w:t xml:space="preserve"> a mi cargo, con los que presenta </w:t>
      </w:r>
      <w:smartTag w:uri="urn:schemas-microsoft-com:office:smarttags" w:element="PersonName">
        <w:smartTagPr>
          <w:attr w:name="ProductID" w:val="la Liquidaci￳n"/>
        </w:smartTagPr>
        <w:r w:rsidRPr="00DC66A5">
          <w:rPr>
            <w:rFonts w:ascii="Arial" w:hAnsi="Arial" w:cs="Arial"/>
            <w:sz w:val="22"/>
            <w:szCs w:val="22"/>
          </w:rPr>
          <w:t>la Liquidación</w:t>
        </w:r>
      </w:smartTag>
      <w:r w:rsidRPr="00DC66A5">
        <w:rPr>
          <w:rFonts w:ascii="Arial" w:hAnsi="Arial" w:cs="Arial"/>
          <w:sz w:val="22"/>
          <w:szCs w:val="22"/>
        </w:rPr>
        <w:t xml:space="preserve"> del Presupuesto, se desprende que la citada Liquidación recoge la información incorporada al sistema –SICAL-Normal- con incidencia en dicho estado contable.</w:t>
      </w:r>
    </w:p>
    <w:p w:rsidR="005C158C" w:rsidRDefault="005C158C" w:rsidP="008C0F21">
      <w:pPr>
        <w:widowControl w:val="0"/>
        <w:autoSpaceDE w:val="0"/>
        <w:autoSpaceDN w:val="0"/>
        <w:adjustRightInd w:val="0"/>
        <w:spacing w:line="240" w:lineRule="atLeast"/>
        <w:jc w:val="both"/>
        <w:rPr>
          <w:rFonts w:ascii="Arial" w:hAnsi="Arial" w:cs="Arial"/>
          <w:sz w:val="22"/>
          <w:szCs w:val="22"/>
        </w:rPr>
      </w:pPr>
    </w:p>
    <w:p w:rsidR="008343A0" w:rsidRDefault="005C158C" w:rsidP="00B736E0">
      <w:pPr>
        <w:widowControl w:val="0"/>
        <w:autoSpaceDE w:val="0"/>
        <w:autoSpaceDN w:val="0"/>
        <w:adjustRightInd w:val="0"/>
        <w:jc w:val="both"/>
        <w:rPr>
          <w:rFonts w:ascii="Arial" w:hAnsi="Arial" w:cs="Arial"/>
          <w:sz w:val="22"/>
          <w:szCs w:val="22"/>
        </w:rPr>
      </w:pPr>
      <w:r>
        <w:rPr>
          <w:rFonts w:ascii="Arial" w:hAnsi="Arial" w:cs="Arial"/>
          <w:sz w:val="22"/>
          <w:szCs w:val="22"/>
        </w:rPr>
        <w:tab/>
      </w:r>
      <w:r w:rsidR="008C0F21" w:rsidRPr="00916713">
        <w:rPr>
          <w:rFonts w:ascii="Arial" w:hAnsi="Arial" w:cs="Arial"/>
          <w:sz w:val="22"/>
          <w:szCs w:val="22"/>
        </w:rPr>
        <w:t xml:space="preserve">4º.- </w:t>
      </w:r>
      <w:r w:rsidR="00BD30BD">
        <w:rPr>
          <w:rFonts w:ascii="Arial" w:hAnsi="Arial" w:cs="Arial"/>
          <w:sz w:val="22"/>
          <w:szCs w:val="22"/>
        </w:rPr>
        <w:t xml:space="preserve">Los datos y magnitudes más significativos de la </w:t>
      </w:r>
      <w:r w:rsidR="008C0F21" w:rsidRPr="00916713">
        <w:rPr>
          <w:rFonts w:ascii="Arial" w:hAnsi="Arial" w:cs="Arial"/>
          <w:sz w:val="22"/>
          <w:szCs w:val="22"/>
        </w:rPr>
        <w:t>Liquidación del Presupuesto</w:t>
      </w:r>
      <w:r w:rsidR="00212E74">
        <w:rPr>
          <w:rFonts w:ascii="Arial" w:hAnsi="Arial" w:cs="Arial"/>
          <w:sz w:val="22"/>
          <w:szCs w:val="22"/>
        </w:rPr>
        <w:t xml:space="preserve"> </w:t>
      </w:r>
      <w:r w:rsidR="00A84F07">
        <w:rPr>
          <w:rFonts w:ascii="Arial" w:hAnsi="Arial" w:cs="Arial"/>
          <w:sz w:val="22"/>
          <w:szCs w:val="22"/>
        </w:rPr>
        <w:t xml:space="preserve">del Ayuntamiento correspondiente al ejercicio económico de </w:t>
      </w:r>
      <w:r w:rsidR="008343A0">
        <w:rPr>
          <w:rFonts w:ascii="Arial" w:hAnsi="Arial" w:cs="Arial"/>
          <w:sz w:val="22"/>
          <w:szCs w:val="22"/>
        </w:rPr>
        <w:t xml:space="preserve"> 20</w:t>
      </w:r>
      <w:r w:rsidR="007E2DC3">
        <w:rPr>
          <w:rFonts w:ascii="Arial" w:hAnsi="Arial" w:cs="Arial"/>
          <w:sz w:val="22"/>
          <w:szCs w:val="22"/>
        </w:rPr>
        <w:t xml:space="preserve"> </w:t>
      </w:r>
      <w:r w:rsidR="007E2DC3" w:rsidRPr="007E2DC3">
        <w:rPr>
          <w:rFonts w:ascii="Arial" w:hAnsi="Arial" w:cs="Arial"/>
          <w:b/>
          <w:color w:val="0000FF"/>
          <w:sz w:val="22"/>
          <w:szCs w:val="22"/>
        </w:rPr>
        <w:t>xxxxx</w:t>
      </w:r>
      <w:r w:rsidR="00BD30BD">
        <w:rPr>
          <w:rFonts w:ascii="Arial" w:hAnsi="Arial" w:cs="Arial"/>
          <w:sz w:val="22"/>
          <w:szCs w:val="22"/>
        </w:rPr>
        <w:t xml:space="preserve"> son</w:t>
      </w:r>
      <w:r w:rsidR="00BB60D2">
        <w:rPr>
          <w:rFonts w:ascii="Arial" w:hAnsi="Arial" w:cs="Arial"/>
          <w:sz w:val="22"/>
          <w:szCs w:val="22"/>
        </w:rPr>
        <w:t>:</w:t>
      </w:r>
    </w:p>
    <w:p w:rsidR="008C0F21" w:rsidRDefault="008C0F21" w:rsidP="008C0F21">
      <w:pPr>
        <w:widowControl w:val="0"/>
        <w:autoSpaceDE w:val="0"/>
        <w:autoSpaceDN w:val="0"/>
        <w:adjustRightInd w:val="0"/>
        <w:spacing w:line="240" w:lineRule="atLeast"/>
        <w:jc w:val="both"/>
        <w:rPr>
          <w:rFonts w:ascii="Arial" w:hAnsi="Arial" w:cs="Arial"/>
          <w:sz w:val="22"/>
          <w:szCs w:val="22"/>
        </w:rPr>
      </w:pPr>
    </w:p>
    <w:p w:rsidR="0060721C" w:rsidRDefault="008343A0" w:rsidP="008C0F21">
      <w:pPr>
        <w:widowControl w:val="0"/>
        <w:autoSpaceDE w:val="0"/>
        <w:autoSpaceDN w:val="0"/>
        <w:adjustRightInd w:val="0"/>
        <w:spacing w:line="240" w:lineRule="atLeast"/>
        <w:jc w:val="both"/>
        <w:rPr>
          <w:rFonts w:ascii="Tahoma" w:hAnsi="Tahoma" w:cs="Tahoma"/>
          <w:sz w:val="22"/>
          <w:szCs w:val="22"/>
        </w:rPr>
      </w:pPr>
      <w:r>
        <w:rPr>
          <w:rFonts w:ascii="Arial" w:hAnsi="Arial" w:cs="Arial"/>
          <w:sz w:val="22"/>
          <w:szCs w:val="22"/>
        </w:rPr>
        <w:tab/>
      </w:r>
      <w:r w:rsidR="0060721C">
        <w:rPr>
          <w:rFonts w:ascii="Arial" w:hAnsi="Arial" w:cs="Arial"/>
          <w:sz w:val="22"/>
          <w:szCs w:val="22"/>
        </w:rPr>
        <w:t xml:space="preserve">a) </w:t>
      </w:r>
      <w:r w:rsidR="0060721C">
        <w:rPr>
          <w:rFonts w:ascii="Tahoma" w:hAnsi="Tahoma" w:cs="Tahoma"/>
          <w:sz w:val="22"/>
          <w:szCs w:val="22"/>
        </w:rPr>
        <w:t>La</w:t>
      </w:r>
      <w:r w:rsidR="0060721C" w:rsidRPr="00417E4C">
        <w:rPr>
          <w:rFonts w:ascii="Tahoma" w:hAnsi="Tahoma" w:cs="Tahoma"/>
          <w:sz w:val="22"/>
          <w:szCs w:val="22"/>
        </w:rPr>
        <w:t xml:space="preserve">  </w:t>
      </w:r>
      <w:r w:rsidR="00336429">
        <w:rPr>
          <w:rFonts w:ascii="Tahoma" w:hAnsi="Tahoma" w:cs="Tahoma"/>
          <w:sz w:val="22"/>
          <w:szCs w:val="22"/>
        </w:rPr>
        <w:t>liquidación del Presupuesto de G</w:t>
      </w:r>
      <w:r w:rsidR="0060721C" w:rsidRPr="00417E4C">
        <w:rPr>
          <w:rFonts w:ascii="Tahoma" w:hAnsi="Tahoma" w:cs="Tahoma"/>
          <w:sz w:val="22"/>
          <w:szCs w:val="22"/>
        </w:rPr>
        <w:t>astos del ejercicio</w:t>
      </w:r>
      <w:r w:rsidR="0060721C">
        <w:rPr>
          <w:rFonts w:ascii="Tahoma" w:hAnsi="Tahoma" w:cs="Tahoma"/>
          <w:sz w:val="22"/>
          <w:szCs w:val="22"/>
        </w:rPr>
        <w:t xml:space="preserve"> ofrece el siguiente resumen: </w:t>
      </w:r>
    </w:p>
    <w:p w:rsidR="00212E74" w:rsidRDefault="00212E74" w:rsidP="008C0F21">
      <w:pPr>
        <w:widowControl w:val="0"/>
        <w:autoSpaceDE w:val="0"/>
        <w:autoSpaceDN w:val="0"/>
        <w:adjustRightInd w:val="0"/>
        <w:spacing w:line="240" w:lineRule="atLeast"/>
        <w:jc w:val="both"/>
        <w:rPr>
          <w:rFonts w:ascii="Arial" w:hAnsi="Arial" w:cs="Arial"/>
          <w:i/>
          <w:color w:val="0000FF"/>
          <w:sz w:val="18"/>
          <w:szCs w:val="18"/>
        </w:rPr>
      </w:pPr>
      <w:r>
        <w:rPr>
          <w:rFonts w:ascii="Tahoma" w:hAnsi="Tahoma" w:cs="Tahoma"/>
          <w:sz w:val="22"/>
          <w:szCs w:val="22"/>
        </w:rPr>
        <w:tab/>
      </w:r>
      <w:r w:rsidR="008E3E0B" w:rsidRPr="00F20F93">
        <w:rPr>
          <w:rFonts w:ascii="Arial" w:hAnsi="Arial" w:cs="Arial"/>
          <w:i/>
          <w:color w:val="0000FF"/>
          <w:sz w:val="18"/>
          <w:szCs w:val="18"/>
        </w:rPr>
        <w:t>(En S</w:t>
      </w:r>
      <w:r w:rsidR="000D7AC5" w:rsidRPr="00F20F93">
        <w:rPr>
          <w:rFonts w:ascii="Arial" w:hAnsi="Arial" w:cs="Arial"/>
          <w:i/>
          <w:color w:val="0000FF"/>
          <w:sz w:val="18"/>
          <w:szCs w:val="18"/>
        </w:rPr>
        <w:t xml:space="preserve">icalwin esta </w:t>
      </w:r>
      <w:r w:rsidR="008E3E0B" w:rsidRPr="00F20F93">
        <w:rPr>
          <w:rFonts w:ascii="Arial" w:hAnsi="Arial" w:cs="Arial"/>
          <w:i/>
          <w:color w:val="0000FF"/>
          <w:sz w:val="18"/>
          <w:szCs w:val="18"/>
        </w:rPr>
        <w:t>información</w:t>
      </w:r>
      <w:r w:rsidR="000D7AC5" w:rsidRPr="00F20F93">
        <w:rPr>
          <w:rFonts w:ascii="Arial" w:hAnsi="Arial" w:cs="Arial"/>
          <w:i/>
          <w:color w:val="0000FF"/>
          <w:sz w:val="18"/>
          <w:szCs w:val="18"/>
        </w:rPr>
        <w:t xml:space="preserve"> se obtiene</w:t>
      </w:r>
      <w:r w:rsidR="008E3E0B" w:rsidRPr="00F20F93">
        <w:rPr>
          <w:rFonts w:ascii="Arial" w:hAnsi="Arial" w:cs="Arial"/>
          <w:i/>
          <w:color w:val="0000FF"/>
          <w:sz w:val="18"/>
          <w:szCs w:val="18"/>
        </w:rPr>
        <w:t xml:space="preserve"> desde</w:t>
      </w:r>
      <w:r w:rsidR="000D7AC5" w:rsidRPr="00F20F93">
        <w:rPr>
          <w:rFonts w:ascii="Arial" w:hAnsi="Arial" w:cs="Arial"/>
          <w:i/>
          <w:color w:val="0000FF"/>
          <w:sz w:val="18"/>
          <w:szCs w:val="18"/>
        </w:rPr>
        <w:t>: Salidas por impresora//</w:t>
      </w:r>
      <w:r w:rsidR="008E3E0B" w:rsidRPr="00F20F93">
        <w:rPr>
          <w:rFonts w:ascii="Arial" w:hAnsi="Arial" w:cs="Arial"/>
          <w:i/>
          <w:color w:val="0000FF"/>
          <w:sz w:val="18"/>
          <w:szCs w:val="18"/>
        </w:rPr>
        <w:t>Cuentas anuales// Estado de liquidación//Estado de Liquidación del Presupuesto-Gastos)</w:t>
      </w:r>
    </w:p>
    <w:p w:rsidR="006B786A" w:rsidRDefault="006B786A" w:rsidP="006B786A">
      <w:pPr>
        <w:widowControl w:val="0"/>
        <w:autoSpaceDE w:val="0"/>
        <w:autoSpaceDN w:val="0"/>
        <w:adjustRightInd w:val="0"/>
        <w:spacing w:line="240" w:lineRule="atLeast"/>
        <w:jc w:val="both"/>
        <w:rPr>
          <w:rFonts w:ascii="Arial" w:hAnsi="Arial" w:cs="Arial"/>
          <w:i/>
          <w:color w:val="0000FF"/>
          <w:sz w:val="18"/>
          <w:szCs w:val="18"/>
        </w:rPr>
      </w:pPr>
      <w:r>
        <w:rPr>
          <w:rFonts w:ascii="Arial" w:hAnsi="Arial" w:cs="Arial"/>
          <w:i/>
          <w:color w:val="0000FF"/>
          <w:sz w:val="18"/>
          <w:szCs w:val="18"/>
        </w:rPr>
        <w:tab/>
      </w:r>
    </w:p>
    <w:tbl>
      <w:tblPr>
        <w:tblStyle w:val="Tablaconcuadrcula"/>
        <w:tblW w:w="6946" w:type="dxa"/>
        <w:tblInd w:w="-5" w:type="dxa"/>
        <w:tblLook w:val="04A0" w:firstRow="1" w:lastRow="0" w:firstColumn="1" w:lastColumn="0" w:noHBand="0" w:noVBand="1"/>
      </w:tblPr>
      <w:tblGrid>
        <w:gridCol w:w="4395"/>
        <w:gridCol w:w="2551"/>
      </w:tblGrid>
      <w:tr w:rsidR="00134404" w:rsidRPr="00A8606F" w:rsidTr="00134404">
        <w:tc>
          <w:tcPr>
            <w:tcW w:w="4395" w:type="dxa"/>
          </w:tcPr>
          <w:p w:rsidR="00134404" w:rsidRPr="00134404" w:rsidRDefault="00134404" w:rsidP="002314EB">
            <w:pPr>
              <w:rPr>
                <w:rFonts w:ascii="Arial" w:hAnsi="Arial" w:cs="Arial"/>
                <w:b/>
                <w:sz w:val="22"/>
                <w:szCs w:val="22"/>
              </w:rPr>
            </w:pPr>
            <w:r w:rsidRPr="00134404">
              <w:rPr>
                <w:rFonts w:ascii="Arial" w:hAnsi="Arial" w:cs="Arial"/>
                <w:b/>
                <w:sz w:val="22"/>
                <w:szCs w:val="22"/>
              </w:rPr>
              <w:t>LIQUIDACION PPTO. GASTOS</w:t>
            </w:r>
          </w:p>
        </w:tc>
        <w:tc>
          <w:tcPr>
            <w:tcW w:w="2551" w:type="dxa"/>
          </w:tcPr>
          <w:p w:rsidR="00134404" w:rsidRPr="00134404" w:rsidRDefault="00134404" w:rsidP="002314EB">
            <w:pPr>
              <w:jc w:val="center"/>
              <w:rPr>
                <w:rFonts w:ascii="Arial" w:hAnsi="Arial" w:cs="Arial"/>
                <w:b/>
                <w:bCs/>
                <w:sz w:val="22"/>
                <w:szCs w:val="22"/>
              </w:rPr>
            </w:pPr>
            <w:r w:rsidRPr="00134404">
              <w:rPr>
                <w:rFonts w:ascii="Arial" w:hAnsi="Arial" w:cs="Arial"/>
                <w:b/>
                <w:bCs/>
                <w:sz w:val="22"/>
                <w:szCs w:val="22"/>
              </w:rPr>
              <w:t>IMPORTE</w:t>
            </w:r>
          </w:p>
        </w:tc>
      </w:tr>
      <w:tr w:rsidR="00134404" w:rsidRPr="003C48E1" w:rsidTr="00134404">
        <w:tc>
          <w:tcPr>
            <w:tcW w:w="4395" w:type="dxa"/>
          </w:tcPr>
          <w:p w:rsidR="00134404" w:rsidRPr="00134404" w:rsidRDefault="00134404" w:rsidP="002314EB">
            <w:pPr>
              <w:rPr>
                <w:rFonts w:ascii="Arial" w:hAnsi="Arial" w:cs="Arial"/>
                <w:sz w:val="22"/>
                <w:szCs w:val="22"/>
              </w:rPr>
            </w:pPr>
            <w:r w:rsidRPr="00134404">
              <w:rPr>
                <w:rFonts w:ascii="Arial" w:hAnsi="Arial" w:cs="Arial"/>
                <w:sz w:val="22"/>
                <w:szCs w:val="22"/>
              </w:rPr>
              <w:t>Créditos iniciales</w:t>
            </w:r>
          </w:p>
        </w:tc>
        <w:tc>
          <w:tcPr>
            <w:tcW w:w="2551" w:type="dxa"/>
          </w:tcPr>
          <w:p w:rsidR="00134404" w:rsidRPr="00134404" w:rsidRDefault="00134404" w:rsidP="002314EB">
            <w:pPr>
              <w:jc w:val="right"/>
              <w:rPr>
                <w:rFonts w:ascii="Arial" w:hAnsi="Arial" w:cs="Arial"/>
                <w:bCs/>
                <w:sz w:val="22"/>
                <w:szCs w:val="22"/>
              </w:rPr>
            </w:pPr>
          </w:p>
        </w:tc>
      </w:tr>
      <w:tr w:rsidR="00134404" w:rsidRPr="003C48E1" w:rsidTr="00134404">
        <w:tc>
          <w:tcPr>
            <w:tcW w:w="4395" w:type="dxa"/>
          </w:tcPr>
          <w:p w:rsidR="00134404" w:rsidRPr="00134404" w:rsidRDefault="00134404" w:rsidP="002314EB">
            <w:pPr>
              <w:rPr>
                <w:rFonts w:ascii="Arial" w:hAnsi="Arial" w:cs="Arial"/>
                <w:sz w:val="22"/>
                <w:szCs w:val="22"/>
              </w:rPr>
            </w:pPr>
            <w:r w:rsidRPr="00134404">
              <w:rPr>
                <w:rFonts w:ascii="Arial" w:hAnsi="Arial" w:cs="Arial"/>
                <w:sz w:val="22"/>
                <w:szCs w:val="22"/>
              </w:rPr>
              <w:t>Modificaciones de créditos</w:t>
            </w:r>
          </w:p>
        </w:tc>
        <w:tc>
          <w:tcPr>
            <w:tcW w:w="2551" w:type="dxa"/>
          </w:tcPr>
          <w:p w:rsidR="00134404" w:rsidRPr="00134404" w:rsidRDefault="00134404" w:rsidP="002314EB">
            <w:pPr>
              <w:jc w:val="right"/>
              <w:rPr>
                <w:rFonts w:ascii="Arial" w:hAnsi="Arial" w:cs="Arial"/>
                <w:bCs/>
                <w:sz w:val="22"/>
                <w:szCs w:val="22"/>
              </w:rPr>
            </w:pPr>
          </w:p>
        </w:tc>
      </w:tr>
      <w:tr w:rsidR="00134404" w:rsidRPr="003C48E1" w:rsidTr="00134404">
        <w:tc>
          <w:tcPr>
            <w:tcW w:w="4395" w:type="dxa"/>
          </w:tcPr>
          <w:p w:rsidR="00134404" w:rsidRPr="00134404" w:rsidRDefault="00134404" w:rsidP="002314EB">
            <w:pPr>
              <w:rPr>
                <w:rFonts w:ascii="Arial" w:hAnsi="Arial" w:cs="Arial"/>
                <w:sz w:val="22"/>
                <w:szCs w:val="22"/>
              </w:rPr>
            </w:pPr>
            <w:r w:rsidRPr="00134404">
              <w:rPr>
                <w:rFonts w:ascii="Arial" w:hAnsi="Arial" w:cs="Arial"/>
                <w:sz w:val="22"/>
                <w:szCs w:val="22"/>
              </w:rPr>
              <w:t>Créditos definitivos</w:t>
            </w:r>
          </w:p>
        </w:tc>
        <w:tc>
          <w:tcPr>
            <w:tcW w:w="2551" w:type="dxa"/>
          </w:tcPr>
          <w:p w:rsidR="00134404" w:rsidRPr="00134404" w:rsidRDefault="00134404" w:rsidP="002314EB">
            <w:pPr>
              <w:jc w:val="right"/>
              <w:rPr>
                <w:rFonts w:ascii="Arial" w:hAnsi="Arial" w:cs="Arial"/>
                <w:bCs/>
                <w:sz w:val="22"/>
                <w:szCs w:val="22"/>
              </w:rPr>
            </w:pPr>
          </w:p>
        </w:tc>
      </w:tr>
      <w:tr w:rsidR="00134404" w:rsidRPr="003C48E1" w:rsidTr="00134404">
        <w:tc>
          <w:tcPr>
            <w:tcW w:w="4395" w:type="dxa"/>
          </w:tcPr>
          <w:p w:rsidR="00134404" w:rsidRPr="00134404" w:rsidRDefault="00134404" w:rsidP="002314EB">
            <w:pPr>
              <w:rPr>
                <w:rFonts w:ascii="Arial" w:hAnsi="Arial" w:cs="Arial"/>
                <w:sz w:val="22"/>
                <w:szCs w:val="22"/>
              </w:rPr>
            </w:pPr>
            <w:r w:rsidRPr="00134404">
              <w:rPr>
                <w:rFonts w:ascii="Arial" w:hAnsi="Arial" w:cs="Arial"/>
                <w:sz w:val="22"/>
                <w:szCs w:val="22"/>
              </w:rPr>
              <w:t>Gastos comprometidos</w:t>
            </w:r>
          </w:p>
        </w:tc>
        <w:tc>
          <w:tcPr>
            <w:tcW w:w="2551" w:type="dxa"/>
          </w:tcPr>
          <w:p w:rsidR="00134404" w:rsidRPr="00134404" w:rsidRDefault="00134404" w:rsidP="002314EB">
            <w:pPr>
              <w:jc w:val="right"/>
              <w:rPr>
                <w:rFonts w:ascii="Arial" w:hAnsi="Arial" w:cs="Arial"/>
                <w:bCs/>
                <w:sz w:val="22"/>
                <w:szCs w:val="22"/>
              </w:rPr>
            </w:pPr>
          </w:p>
        </w:tc>
      </w:tr>
      <w:tr w:rsidR="00134404" w:rsidRPr="003C48E1" w:rsidTr="00134404">
        <w:tc>
          <w:tcPr>
            <w:tcW w:w="4395" w:type="dxa"/>
          </w:tcPr>
          <w:p w:rsidR="00134404" w:rsidRPr="00134404" w:rsidRDefault="00134404" w:rsidP="002314EB">
            <w:pPr>
              <w:rPr>
                <w:rFonts w:ascii="Arial" w:hAnsi="Arial" w:cs="Arial"/>
                <w:sz w:val="22"/>
                <w:szCs w:val="22"/>
              </w:rPr>
            </w:pPr>
            <w:r w:rsidRPr="00134404">
              <w:rPr>
                <w:rFonts w:ascii="Arial" w:hAnsi="Arial" w:cs="Arial"/>
                <w:sz w:val="22"/>
                <w:szCs w:val="22"/>
              </w:rPr>
              <w:t>Obligaciones reconocidas netas</w:t>
            </w:r>
          </w:p>
        </w:tc>
        <w:tc>
          <w:tcPr>
            <w:tcW w:w="2551" w:type="dxa"/>
          </w:tcPr>
          <w:p w:rsidR="00134404" w:rsidRPr="00134404" w:rsidRDefault="00134404" w:rsidP="002314EB">
            <w:pPr>
              <w:jc w:val="right"/>
              <w:rPr>
                <w:rFonts w:ascii="Arial" w:hAnsi="Arial" w:cs="Arial"/>
                <w:bCs/>
                <w:sz w:val="22"/>
                <w:szCs w:val="22"/>
              </w:rPr>
            </w:pPr>
          </w:p>
        </w:tc>
      </w:tr>
      <w:tr w:rsidR="00134404" w:rsidRPr="003C48E1" w:rsidTr="00134404">
        <w:tc>
          <w:tcPr>
            <w:tcW w:w="4395" w:type="dxa"/>
          </w:tcPr>
          <w:p w:rsidR="00134404" w:rsidRPr="00134404" w:rsidRDefault="00134404" w:rsidP="002314EB">
            <w:pPr>
              <w:rPr>
                <w:rFonts w:ascii="Arial" w:hAnsi="Arial" w:cs="Arial"/>
                <w:sz w:val="22"/>
                <w:szCs w:val="22"/>
              </w:rPr>
            </w:pPr>
            <w:r w:rsidRPr="00134404">
              <w:rPr>
                <w:rFonts w:ascii="Arial" w:hAnsi="Arial" w:cs="Arial"/>
                <w:sz w:val="22"/>
                <w:szCs w:val="22"/>
              </w:rPr>
              <w:t>Pagos líquidos</w:t>
            </w:r>
          </w:p>
        </w:tc>
        <w:tc>
          <w:tcPr>
            <w:tcW w:w="2551" w:type="dxa"/>
          </w:tcPr>
          <w:p w:rsidR="00134404" w:rsidRPr="00134404" w:rsidRDefault="00134404" w:rsidP="002314EB">
            <w:pPr>
              <w:jc w:val="right"/>
              <w:rPr>
                <w:rFonts w:ascii="Arial" w:hAnsi="Arial" w:cs="Arial"/>
                <w:bCs/>
                <w:sz w:val="22"/>
                <w:szCs w:val="22"/>
              </w:rPr>
            </w:pPr>
          </w:p>
        </w:tc>
      </w:tr>
      <w:tr w:rsidR="00134404" w:rsidRPr="003C48E1" w:rsidTr="00134404">
        <w:tc>
          <w:tcPr>
            <w:tcW w:w="4395" w:type="dxa"/>
          </w:tcPr>
          <w:p w:rsidR="00134404" w:rsidRPr="00134404" w:rsidRDefault="00134404" w:rsidP="002314EB">
            <w:pPr>
              <w:rPr>
                <w:rFonts w:ascii="Arial" w:hAnsi="Arial" w:cs="Arial"/>
                <w:sz w:val="22"/>
                <w:szCs w:val="22"/>
              </w:rPr>
            </w:pPr>
            <w:r w:rsidRPr="00134404">
              <w:rPr>
                <w:rFonts w:ascii="Arial" w:hAnsi="Arial" w:cs="Arial"/>
                <w:sz w:val="22"/>
                <w:szCs w:val="22"/>
              </w:rPr>
              <w:t>Remanentes de crédito comprometidos</w:t>
            </w:r>
          </w:p>
        </w:tc>
        <w:tc>
          <w:tcPr>
            <w:tcW w:w="2551" w:type="dxa"/>
          </w:tcPr>
          <w:p w:rsidR="00134404" w:rsidRPr="00134404" w:rsidRDefault="00134404" w:rsidP="002314EB">
            <w:pPr>
              <w:jc w:val="right"/>
              <w:rPr>
                <w:rFonts w:ascii="Arial" w:hAnsi="Arial" w:cs="Arial"/>
                <w:bCs/>
                <w:sz w:val="22"/>
                <w:szCs w:val="22"/>
              </w:rPr>
            </w:pPr>
          </w:p>
        </w:tc>
      </w:tr>
      <w:tr w:rsidR="00134404" w:rsidRPr="003C48E1" w:rsidTr="00134404">
        <w:tc>
          <w:tcPr>
            <w:tcW w:w="4395" w:type="dxa"/>
          </w:tcPr>
          <w:p w:rsidR="00134404" w:rsidRPr="00134404" w:rsidRDefault="00134404" w:rsidP="002314EB">
            <w:pPr>
              <w:rPr>
                <w:rFonts w:ascii="Arial" w:hAnsi="Arial" w:cs="Arial"/>
                <w:sz w:val="22"/>
                <w:szCs w:val="22"/>
              </w:rPr>
            </w:pPr>
            <w:r w:rsidRPr="00134404">
              <w:rPr>
                <w:rFonts w:ascii="Arial" w:hAnsi="Arial" w:cs="Arial"/>
                <w:sz w:val="22"/>
                <w:szCs w:val="22"/>
              </w:rPr>
              <w:t>Remanentes de crédito no comprometidos</w:t>
            </w:r>
          </w:p>
        </w:tc>
        <w:tc>
          <w:tcPr>
            <w:tcW w:w="2551" w:type="dxa"/>
          </w:tcPr>
          <w:p w:rsidR="00134404" w:rsidRPr="00134404" w:rsidRDefault="00134404" w:rsidP="002314EB">
            <w:pPr>
              <w:jc w:val="right"/>
              <w:rPr>
                <w:rFonts w:ascii="Arial" w:hAnsi="Arial" w:cs="Arial"/>
                <w:bCs/>
                <w:sz w:val="22"/>
                <w:szCs w:val="22"/>
              </w:rPr>
            </w:pPr>
          </w:p>
        </w:tc>
      </w:tr>
    </w:tbl>
    <w:p w:rsidR="00134404" w:rsidRDefault="00134404" w:rsidP="0096622B">
      <w:pPr>
        <w:widowControl w:val="0"/>
        <w:tabs>
          <w:tab w:val="left" w:pos="567"/>
          <w:tab w:val="left" w:leader="dot" w:pos="5812"/>
        </w:tabs>
        <w:autoSpaceDE w:val="0"/>
        <w:autoSpaceDN w:val="0"/>
        <w:adjustRightInd w:val="0"/>
        <w:spacing w:line="240" w:lineRule="atLeast"/>
        <w:jc w:val="center"/>
        <w:rPr>
          <w:rFonts w:ascii="Arial" w:hAnsi="Arial" w:cs="Arial"/>
          <w:sz w:val="22"/>
          <w:szCs w:val="22"/>
        </w:rPr>
      </w:pPr>
    </w:p>
    <w:p w:rsidR="00C534F3" w:rsidRPr="00C534F3" w:rsidRDefault="00134404" w:rsidP="00C534F3">
      <w:pPr>
        <w:widowControl w:val="0"/>
        <w:tabs>
          <w:tab w:val="left" w:pos="567"/>
          <w:tab w:val="left" w:leader="dot" w:pos="5812"/>
        </w:tabs>
        <w:autoSpaceDE w:val="0"/>
        <w:autoSpaceDN w:val="0"/>
        <w:adjustRightInd w:val="0"/>
        <w:spacing w:line="240" w:lineRule="atLeast"/>
        <w:jc w:val="both"/>
        <w:rPr>
          <w:rFonts w:ascii="Arial" w:hAnsi="Arial" w:cs="Arial"/>
          <w:sz w:val="22"/>
          <w:szCs w:val="22"/>
        </w:rPr>
      </w:pPr>
      <w:r>
        <w:rPr>
          <w:rFonts w:ascii="Arial" w:hAnsi="Arial" w:cs="Arial"/>
          <w:sz w:val="22"/>
          <w:szCs w:val="22"/>
        </w:rPr>
        <w:tab/>
      </w:r>
      <w:r w:rsidR="0096622B">
        <w:rPr>
          <w:rFonts w:ascii="Arial" w:hAnsi="Arial" w:cs="Arial"/>
          <w:sz w:val="22"/>
          <w:szCs w:val="22"/>
        </w:rPr>
        <w:t xml:space="preserve">b) </w:t>
      </w:r>
      <w:r w:rsidR="0096622B">
        <w:rPr>
          <w:rFonts w:ascii="Tahoma" w:hAnsi="Tahoma" w:cs="Tahoma"/>
          <w:sz w:val="22"/>
          <w:szCs w:val="22"/>
        </w:rPr>
        <w:t>La</w:t>
      </w:r>
      <w:r>
        <w:rPr>
          <w:rFonts w:ascii="Tahoma" w:hAnsi="Tahoma" w:cs="Tahoma"/>
          <w:sz w:val="22"/>
          <w:szCs w:val="22"/>
        </w:rPr>
        <w:t xml:space="preserve"> </w:t>
      </w:r>
      <w:r w:rsidR="0096622B">
        <w:rPr>
          <w:rFonts w:ascii="Tahoma" w:hAnsi="Tahoma" w:cs="Tahoma"/>
          <w:sz w:val="22"/>
          <w:szCs w:val="22"/>
        </w:rPr>
        <w:t>liquidación del P</w:t>
      </w:r>
      <w:r w:rsidR="0096622B" w:rsidRPr="00417E4C">
        <w:rPr>
          <w:rFonts w:ascii="Tahoma" w:hAnsi="Tahoma" w:cs="Tahoma"/>
          <w:sz w:val="22"/>
          <w:szCs w:val="22"/>
        </w:rPr>
        <w:t xml:space="preserve">resupuesto de </w:t>
      </w:r>
      <w:r w:rsidR="0096622B">
        <w:rPr>
          <w:rFonts w:ascii="Tahoma" w:hAnsi="Tahoma" w:cs="Tahoma"/>
          <w:sz w:val="22"/>
          <w:szCs w:val="22"/>
        </w:rPr>
        <w:t xml:space="preserve">Ingresos </w:t>
      </w:r>
      <w:r w:rsidR="0096622B" w:rsidRPr="00417E4C">
        <w:rPr>
          <w:rFonts w:ascii="Tahoma" w:hAnsi="Tahoma" w:cs="Tahoma"/>
          <w:sz w:val="22"/>
          <w:szCs w:val="22"/>
        </w:rPr>
        <w:t>del ejercicio</w:t>
      </w:r>
      <w:r w:rsidR="0096622B">
        <w:rPr>
          <w:rFonts w:ascii="Tahoma" w:hAnsi="Tahoma" w:cs="Tahoma"/>
          <w:sz w:val="22"/>
          <w:szCs w:val="22"/>
        </w:rPr>
        <w:t xml:space="preserve"> ofrece el siguiente </w:t>
      </w:r>
      <w:r w:rsidR="0096622B">
        <w:rPr>
          <w:rFonts w:ascii="Tahoma" w:hAnsi="Tahoma" w:cs="Tahoma"/>
          <w:sz w:val="22"/>
          <w:szCs w:val="22"/>
        </w:rPr>
        <w:lastRenderedPageBreak/>
        <w:t>resumen:</w:t>
      </w:r>
    </w:p>
    <w:p w:rsidR="0096622B" w:rsidRDefault="0096622B" w:rsidP="0096622B">
      <w:pPr>
        <w:widowControl w:val="0"/>
        <w:autoSpaceDE w:val="0"/>
        <w:autoSpaceDN w:val="0"/>
        <w:adjustRightInd w:val="0"/>
        <w:spacing w:line="240" w:lineRule="atLeast"/>
        <w:jc w:val="both"/>
        <w:rPr>
          <w:rFonts w:ascii="Arial" w:hAnsi="Arial" w:cs="Arial"/>
          <w:i/>
          <w:color w:val="0000FF"/>
          <w:sz w:val="18"/>
          <w:szCs w:val="18"/>
        </w:rPr>
      </w:pPr>
      <w:r>
        <w:rPr>
          <w:rFonts w:ascii="Arial" w:hAnsi="Arial" w:cs="Arial"/>
          <w:i/>
          <w:color w:val="0000FF"/>
          <w:sz w:val="18"/>
          <w:szCs w:val="18"/>
        </w:rPr>
        <w:t>(En S</w:t>
      </w:r>
      <w:r w:rsidRPr="008E3E0B">
        <w:rPr>
          <w:rFonts w:ascii="Arial" w:hAnsi="Arial" w:cs="Arial"/>
          <w:i/>
          <w:color w:val="0000FF"/>
          <w:sz w:val="18"/>
          <w:szCs w:val="18"/>
        </w:rPr>
        <w:t>icalwin esta información se obtiene</w:t>
      </w:r>
      <w:r>
        <w:rPr>
          <w:rFonts w:ascii="Arial" w:hAnsi="Arial" w:cs="Arial"/>
          <w:i/>
          <w:color w:val="0000FF"/>
          <w:sz w:val="18"/>
          <w:szCs w:val="18"/>
        </w:rPr>
        <w:t xml:space="preserve"> desde</w:t>
      </w:r>
      <w:r w:rsidRPr="008E3E0B">
        <w:rPr>
          <w:rFonts w:ascii="Arial" w:hAnsi="Arial" w:cs="Arial"/>
          <w:i/>
          <w:color w:val="0000FF"/>
          <w:sz w:val="18"/>
          <w:szCs w:val="18"/>
        </w:rPr>
        <w:t>: Salidas por impresora//Cuentas anuales// Estado de liquidación//Estado de Liquidación del Presupuesto-</w:t>
      </w:r>
      <w:r w:rsidR="00336429">
        <w:rPr>
          <w:rFonts w:ascii="Arial" w:hAnsi="Arial" w:cs="Arial"/>
          <w:i/>
          <w:color w:val="0000FF"/>
          <w:sz w:val="18"/>
          <w:szCs w:val="18"/>
        </w:rPr>
        <w:t>Ingres</w:t>
      </w:r>
      <w:r w:rsidRPr="008E3E0B">
        <w:rPr>
          <w:rFonts w:ascii="Arial" w:hAnsi="Arial" w:cs="Arial"/>
          <w:i/>
          <w:color w:val="0000FF"/>
          <w:sz w:val="18"/>
          <w:szCs w:val="18"/>
        </w:rPr>
        <w:t>os</w:t>
      </w:r>
      <w:r>
        <w:rPr>
          <w:rFonts w:ascii="Arial" w:hAnsi="Arial" w:cs="Arial"/>
          <w:i/>
          <w:color w:val="0000FF"/>
          <w:sz w:val="18"/>
          <w:szCs w:val="18"/>
        </w:rPr>
        <w:t>)</w:t>
      </w:r>
    </w:p>
    <w:p w:rsidR="0096622B" w:rsidRDefault="0096622B" w:rsidP="0096622B">
      <w:pPr>
        <w:widowControl w:val="0"/>
        <w:autoSpaceDE w:val="0"/>
        <w:autoSpaceDN w:val="0"/>
        <w:adjustRightInd w:val="0"/>
        <w:spacing w:line="240" w:lineRule="atLeast"/>
        <w:jc w:val="both"/>
        <w:rPr>
          <w:rFonts w:ascii="Arial" w:hAnsi="Arial" w:cs="Arial"/>
          <w:i/>
          <w:color w:val="0000FF"/>
          <w:sz w:val="18"/>
          <w:szCs w:val="18"/>
        </w:rPr>
      </w:pPr>
    </w:p>
    <w:tbl>
      <w:tblPr>
        <w:tblStyle w:val="Tablaconcuadrcula"/>
        <w:tblW w:w="6946" w:type="dxa"/>
        <w:tblInd w:w="-5" w:type="dxa"/>
        <w:tblLook w:val="04A0" w:firstRow="1" w:lastRow="0" w:firstColumn="1" w:lastColumn="0" w:noHBand="0" w:noVBand="1"/>
      </w:tblPr>
      <w:tblGrid>
        <w:gridCol w:w="4395"/>
        <w:gridCol w:w="2551"/>
      </w:tblGrid>
      <w:tr w:rsidR="007939D0" w:rsidRPr="00A8606F" w:rsidTr="007939D0">
        <w:tc>
          <w:tcPr>
            <w:tcW w:w="4395" w:type="dxa"/>
          </w:tcPr>
          <w:p w:rsidR="007939D0" w:rsidRPr="007939D0" w:rsidRDefault="007939D0" w:rsidP="002314EB">
            <w:pPr>
              <w:jc w:val="both"/>
              <w:rPr>
                <w:rFonts w:ascii="Arial" w:hAnsi="Arial" w:cs="Arial"/>
                <w:b/>
                <w:sz w:val="22"/>
                <w:szCs w:val="22"/>
              </w:rPr>
            </w:pPr>
            <w:r w:rsidRPr="007939D0">
              <w:rPr>
                <w:rFonts w:ascii="Arial" w:hAnsi="Arial" w:cs="Arial"/>
                <w:b/>
                <w:sz w:val="22"/>
                <w:szCs w:val="22"/>
              </w:rPr>
              <w:t>LIQUIDACION PPTO. INGRESOS</w:t>
            </w:r>
          </w:p>
        </w:tc>
        <w:tc>
          <w:tcPr>
            <w:tcW w:w="2551" w:type="dxa"/>
          </w:tcPr>
          <w:p w:rsidR="007939D0" w:rsidRPr="007939D0" w:rsidRDefault="007939D0" w:rsidP="002314EB">
            <w:pPr>
              <w:jc w:val="center"/>
              <w:rPr>
                <w:rFonts w:ascii="Arial" w:hAnsi="Arial" w:cs="Arial"/>
                <w:b/>
                <w:bCs/>
                <w:sz w:val="22"/>
                <w:szCs w:val="22"/>
              </w:rPr>
            </w:pPr>
            <w:r w:rsidRPr="007939D0">
              <w:rPr>
                <w:rFonts w:ascii="Arial" w:hAnsi="Arial" w:cs="Arial"/>
                <w:b/>
                <w:bCs/>
                <w:sz w:val="22"/>
                <w:szCs w:val="22"/>
              </w:rPr>
              <w:t>IMPORTE</w:t>
            </w:r>
          </w:p>
        </w:tc>
      </w:tr>
      <w:tr w:rsidR="007939D0" w:rsidRPr="003C48E1" w:rsidTr="007939D0">
        <w:tc>
          <w:tcPr>
            <w:tcW w:w="4395" w:type="dxa"/>
          </w:tcPr>
          <w:p w:rsidR="007939D0" w:rsidRPr="007939D0" w:rsidRDefault="007939D0" w:rsidP="002314EB">
            <w:pPr>
              <w:jc w:val="both"/>
              <w:rPr>
                <w:rFonts w:ascii="Arial" w:hAnsi="Arial" w:cs="Arial"/>
                <w:b/>
                <w:bCs/>
                <w:sz w:val="22"/>
                <w:szCs w:val="22"/>
              </w:rPr>
            </w:pPr>
            <w:r w:rsidRPr="007939D0">
              <w:rPr>
                <w:rFonts w:ascii="Arial" w:hAnsi="Arial" w:cs="Arial"/>
                <w:sz w:val="22"/>
                <w:szCs w:val="22"/>
              </w:rPr>
              <w:t>Previsiones iniciales</w:t>
            </w:r>
          </w:p>
        </w:tc>
        <w:tc>
          <w:tcPr>
            <w:tcW w:w="2551" w:type="dxa"/>
          </w:tcPr>
          <w:p w:rsidR="007939D0" w:rsidRPr="007939D0" w:rsidRDefault="007939D0" w:rsidP="002314EB">
            <w:pPr>
              <w:jc w:val="right"/>
              <w:rPr>
                <w:rFonts w:ascii="Arial" w:hAnsi="Arial" w:cs="Arial"/>
                <w:bCs/>
                <w:sz w:val="22"/>
                <w:szCs w:val="22"/>
              </w:rPr>
            </w:pPr>
          </w:p>
        </w:tc>
      </w:tr>
      <w:tr w:rsidR="007939D0" w:rsidRPr="003C48E1" w:rsidTr="007939D0">
        <w:tc>
          <w:tcPr>
            <w:tcW w:w="4395" w:type="dxa"/>
          </w:tcPr>
          <w:p w:rsidR="007939D0" w:rsidRPr="007939D0" w:rsidRDefault="007939D0" w:rsidP="002314EB">
            <w:pPr>
              <w:jc w:val="both"/>
              <w:rPr>
                <w:rFonts w:ascii="Arial" w:hAnsi="Arial" w:cs="Arial"/>
                <w:b/>
                <w:bCs/>
                <w:sz w:val="22"/>
                <w:szCs w:val="22"/>
              </w:rPr>
            </w:pPr>
            <w:r w:rsidRPr="007939D0">
              <w:rPr>
                <w:rFonts w:ascii="Arial" w:hAnsi="Arial" w:cs="Arial"/>
                <w:sz w:val="22"/>
                <w:szCs w:val="22"/>
              </w:rPr>
              <w:t>Modificación de las previsiones</w:t>
            </w:r>
          </w:p>
        </w:tc>
        <w:tc>
          <w:tcPr>
            <w:tcW w:w="2551" w:type="dxa"/>
          </w:tcPr>
          <w:p w:rsidR="007939D0" w:rsidRPr="007939D0" w:rsidRDefault="007939D0" w:rsidP="002314EB">
            <w:pPr>
              <w:jc w:val="right"/>
              <w:rPr>
                <w:rFonts w:ascii="Arial" w:hAnsi="Arial" w:cs="Arial"/>
                <w:bCs/>
                <w:sz w:val="22"/>
                <w:szCs w:val="22"/>
              </w:rPr>
            </w:pPr>
          </w:p>
        </w:tc>
      </w:tr>
      <w:tr w:rsidR="007939D0" w:rsidRPr="003C48E1" w:rsidTr="007939D0">
        <w:tc>
          <w:tcPr>
            <w:tcW w:w="4395" w:type="dxa"/>
          </w:tcPr>
          <w:p w:rsidR="007939D0" w:rsidRPr="007939D0" w:rsidRDefault="007939D0" w:rsidP="002314EB">
            <w:pPr>
              <w:jc w:val="both"/>
              <w:rPr>
                <w:rFonts w:ascii="Arial" w:hAnsi="Arial" w:cs="Arial"/>
                <w:b/>
                <w:bCs/>
                <w:sz w:val="22"/>
                <w:szCs w:val="22"/>
              </w:rPr>
            </w:pPr>
            <w:r w:rsidRPr="007939D0">
              <w:rPr>
                <w:rFonts w:ascii="Arial" w:hAnsi="Arial" w:cs="Arial"/>
                <w:sz w:val="22"/>
                <w:szCs w:val="22"/>
              </w:rPr>
              <w:t>Previsiones definitivas</w:t>
            </w:r>
          </w:p>
        </w:tc>
        <w:tc>
          <w:tcPr>
            <w:tcW w:w="2551" w:type="dxa"/>
          </w:tcPr>
          <w:p w:rsidR="007939D0" w:rsidRPr="007939D0" w:rsidRDefault="007939D0" w:rsidP="002314EB">
            <w:pPr>
              <w:jc w:val="right"/>
              <w:rPr>
                <w:rFonts w:ascii="Arial" w:hAnsi="Arial" w:cs="Arial"/>
                <w:bCs/>
                <w:sz w:val="22"/>
                <w:szCs w:val="22"/>
              </w:rPr>
            </w:pPr>
          </w:p>
        </w:tc>
      </w:tr>
      <w:tr w:rsidR="007939D0" w:rsidRPr="003C48E1" w:rsidTr="007939D0">
        <w:tc>
          <w:tcPr>
            <w:tcW w:w="4395" w:type="dxa"/>
          </w:tcPr>
          <w:p w:rsidR="007939D0" w:rsidRPr="007939D0" w:rsidRDefault="007939D0" w:rsidP="002314EB">
            <w:pPr>
              <w:jc w:val="both"/>
              <w:rPr>
                <w:rFonts w:ascii="Arial" w:hAnsi="Arial" w:cs="Arial"/>
                <w:b/>
                <w:bCs/>
                <w:sz w:val="22"/>
                <w:szCs w:val="22"/>
              </w:rPr>
            </w:pPr>
            <w:r w:rsidRPr="007939D0">
              <w:rPr>
                <w:rFonts w:ascii="Arial" w:hAnsi="Arial" w:cs="Arial"/>
                <w:sz w:val="22"/>
                <w:szCs w:val="22"/>
              </w:rPr>
              <w:t>Derechos reconocidos</w:t>
            </w:r>
          </w:p>
        </w:tc>
        <w:tc>
          <w:tcPr>
            <w:tcW w:w="2551" w:type="dxa"/>
          </w:tcPr>
          <w:p w:rsidR="007939D0" w:rsidRPr="007939D0" w:rsidRDefault="007939D0" w:rsidP="002314EB">
            <w:pPr>
              <w:jc w:val="right"/>
              <w:rPr>
                <w:rFonts w:ascii="Arial" w:hAnsi="Arial" w:cs="Arial"/>
                <w:bCs/>
                <w:sz w:val="22"/>
                <w:szCs w:val="22"/>
              </w:rPr>
            </w:pPr>
          </w:p>
        </w:tc>
      </w:tr>
      <w:tr w:rsidR="007939D0" w:rsidRPr="003C48E1" w:rsidTr="007939D0">
        <w:tc>
          <w:tcPr>
            <w:tcW w:w="4395" w:type="dxa"/>
          </w:tcPr>
          <w:p w:rsidR="007939D0" w:rsidRPr="007939D0" w:rsidRDefault="007939D0" w:rsidP="002314EB">
            <w:pPr>
              <w:jc w:val="both"/>
              <w:rPr>
                <w:rFonts w:ascii="Arial" w:hAnsi="Arial" w:cs="Arial"/>
                <w:b/>
                <w:bCs/>
                <w:sz w:val="22"/>
                <w:szCs w:val="22"/>
              </w:rPr>
            </w:pPr>
            <w:r w:rsidRPr="007939D0">
              <w:rPr>
                <w:rFonts w:ascii="Arial" w:hAnsi="Arial" w:cs="Arial"/>
                <w:sz w:val="22"/>
                <w:szCs w:val="22"/>
              </w:rPr>
              <w:t>Derechos anulados</w:t>
            </w:r>
          </w:p>
        </w:tc>
        <w:tc>
          <w:tcPr>
            <w:tcW w:w="2551" w:type="dxa"/>
          </w:tcPr>
          <w:p w:rsidR="007939D0" w:rsidRPr="007939D0" w:rsidRDefault="007939D0" w:rsidP="002314EB">
            <w:pPr>
              <w:jc w:val="right"/>
              <w:rPr>
                <w:rFonts w:ascii="Arial" w:hAnsi="Arial" w:cs="Arial"/>
                <w:bCs/>
                <w:sz w:val="22"/>
                <w:szCs w:val="22"/>
              </w:rPr>
            </w:pPr>
          </w:p>
        </w:tc>
      </w:tr>
      <w:tr w:rsidR="007939D0" w:rsidRPr="003C48E1" w:rsidTr="007939D0">
        <w:tc>
          <w:tcPr>
            <w:tcW w:w="4395" w:type="dxa"/>
          </w:tcPr>
          <w:p w:rsidR="007939D0" w:rsidRPr="007939D0" w:rsidRDefault="007939D0" w:rsidP="002314EB">
            <w:pPr>
              <w:jc w:val="both"/>
              <w:rPr>
                <w:rFonts w:ascii="Arial" w:hAnsi="Arial" w:cs="Arial"/>
                <w:b/>
                <w:bCs/>
                <w:sz w:val="22"/>
                <w:szCs w:val="22"/>
              </w:rPr>
            </w:pPr>
            <w:r w:rsidRPr="007939D0">
              <w:rPr>
                <w:rFonts w:ascii="Arial" w:hAnsi="Arial" w:cs="Arial"/>
                <w:sz w:val="22"/>
                <w:szCs w:val="22"/>
              </w:rPr>
              <w:t>Derechos cancelados</w:t>
            </w:r>
          </w:p>
        </w:tc>
        <w:tc>
          <w:tcPr>
            <w:tcW w:w="2551" w:type="dxa"/>
          </w:tcPr>
          <w:p w:rsidR="007939D0" w:rsidRPr="007939D0" w:rsidRDefault="007939D0" w:rsidP="002314EB">
            <w:pPr>
              <w:jc w:val="right"/>
              <w:rPr>
                <w:rFonts w:ascii="Arial" w:hAnsi="Arial" w:cs="Arial"/>
                <w:bCs/>
                <w:sz w:val="22"/>
                <w:szCs w:val="22"/>
              </w:rPr>
            </w:pPr>
          </w:p>
        </w:tc>
      </w:tr>
      <w:tr w:rsidR="007939D0" w:rsidRPr="003C48E1" w:rsidTr="007939D0">
        <w:tc>
          <w:tcPr>
            <w:tcW w:w="4395" w:type="dxa"/>
          </w:tcPr>
          <w:p w:rsidR="007939D0" w:rsidRPr="007939D0" w:rsidRDefault="007939D0" w:rsidP="002314EB">
            <w:pPr>
              <w:jc w:val="both"/>
              <w:rPr>
                <w:rFonts w:ascii="Arial" w:hAnsi="Arial" w:cs="Arial"/>
                <w:b/>
                <w:bCs/>
                <w:sz w:val="22"/>
                <w:szCs w:val="22"/>
              </w:rPr>
            </w:pPr>
            <w:r w:rsidRPr="007939D0">
              <w:rPr>
                <w:rFonts w:ascii="Arial" w:hAnsi="Arial" w:cs="Arial"/>
                <w:sz w:val="22"/>
                <w:szCs w:val="22"/>
              </w:rPr>
              <w:t>Recaudación líquida</w:t>
            </w:r>
          </w:p>
        </w:tc>
        <w:tc>
          <w:tcPr>
            <w:tcW w:w="2551" w:type="dxa"/>
          </w:tcPr>
          <w:p w:rsidR="007939D0" w:rsidRPr="007939D0" w:rsidRDefault="007939D0" w:rsidP="002314EB">
            <w:pPr>
              <w:jc w:val="right"/>
              <w:rPr>
                <w:rFonts w:ascii="Arial" w:hAnsi="Arial" w:cs="Arial"/>
                <w:bCs/>
                <w:sz w:val="22"/>
                <w:szCs w:val="22"/>
              </w:rPr>
            </w:pPr>
          </w:p>
        </w:tc>
      </w:tr>
      <w:tr w:rsidR="007939D0" w:rsidRPr="003C48E1" w:rsidTr="007939D0">
        <w:tc>
          <w:tcPr>
            <w:tcW w:w="4395" w:type="dxa"/>
          </w:tcPr>
          <w:p w:rsidR="007939D0" w:rsidRPr="007939D0" w:rsidRDefault="007939D0" w:rsidP="002314EB">
            <w:pPr>
              <w:jc w:val="both"/>
              <w:rPr>
                <w:rFonts w:ascii="Arial" w:hAnsi="Arial" w:cs="Arial"/>
                <w:bCs/>
                <w:sz w:val="22"/>
                <w:szCs w:val="22"/>
              </w:rPr>
            </w:pPr>
            <w:r w:rsidRPr="007939D0">
              <w:rPr>
                <w:rFonts w:ascii="Arial" w:hAnsi="Arial" w:cs="Arial"/>
                <w:bCs/>
                <w:sz w:val="22"/>
                <w:szCs w:val="22"/>
              </w:rPr>
              <w:t>Derechos pendientes de cobro</w:t>
            </w:r>
          </w:p>
        </w:tc>
        <w:tc>
          <w:tcPr>
            <w:tcW w:w="2551" w:type="dxa"/>
          </w:tcPr>
          <w:p w:rsidR="007939D0" w:rsidRPr="007939D0" w:rsidRDefault="007939D0" w:rsidP="002314EB">
            <w:pPr>
              <w:jc w:val="right"/>
              <w:rPr>
                <w:rFonts w:ascii="Arial" w:hAnsi="Arial" w:cs="Arial"/>
                <w:bCs/>
                <w:sz w:val="22"/>
                <w:szCs w:val="22"/>
              </w:rPr>
            </w:pPr>
          </w:p>
        </w:tc>
      </w:tr>
    </w:tbl>
    <w:p w:rsidR="007939D0" w:rsidRDefault="007939D0" w:rsidP="0096622B">
      <w:pPr>
        <w:widowControl w:val="0"/>
        <w:autoSpaceDE w:val="0"/>
        <w:autoSpaceDN w:val="0"/>
        <w:adjustRightInd w:val="0"/>
        <w:spacing w:line="240" w:lineRule="atLeast"/>
        <w:jc w:val="both"/>
        <w:rPr>
          <w:rFonts w:ascii="Arial" w:hAnsi="Arial" w:cs="Arial"/>
          <w:i/>
          <w:color w:val="0000FF"/>
          <w:sz w:val="18"/>
          <w:szCs w:val="18"/>
        </w:rPr>
      </w:pPr>
    </w:p>
    <w:p w:rsidR="007939D0" w:rsidRDefault="007939D0" w:rsidP="0096622B">
      <w:pPr>
        <w:widowControl w:val="0"/>
        <w:autoSpaceDE w:val="0"/>
        <w:autoSpaceDN w:val="0"/>
        <w:adjustRightInd w:val="0"/>
        <w:spacing w:line="240" w:lineRule="atLeast"/>
        <w:jc w:val="both"/>
        <w:rPr>
          <w:rFonts w:ascii="Arial" w:hAnsi="Arial" w:cs="Arial"/>
          <w:i/>
          <w:color w:val="0000FF"/>
          <w:sz w:val="18"/>
          <w:szCs w:val="18"/>
        </w:rPr>
      </w:pPr>
    </w:p>
    <w:p w:rsidR="00336429" w:rsidRDefault="00336429" w:rsidP="008E3E0B">
      <w:pPr>
        <w:widowControl w:val="0"/>
        <w:autoSpaceDE w:val="0"/>
        <w:autoSpaceDN w:val="0"/>
        <w:adjustRightInd w:val="0"/>
        <w:spacing w:line="240" w:lineRule="atLeast"/>
        <w:jc w:val="both"/>
        <w:rPr>
          <w:rFonts w:ascii="Arial" w:hAnsi="Arial" w:cs="Arial"/>
          <w:sz w:val="22"/>
          <w:szCs w:val="22"/>
        </w:rPr>
      </w:pPr>
      <w:r>
        <w:rPr>
          <w:rFonts w:ascii="Arial" w:hAnsi="Arial" w:cs="Arial"/>
          <w:sz w:val="22"/>
          <w:szCs w:val="22"/>
        </w:rPr>
        <w:tab/>
        <w:t xml:space="preserve">c) El </w:t>
      </w:r>
      <w:r w:rsidRPr="009C0306">
        <w:rPr>
          <w:rFonts w:ascii="Arial" w:hAnsi="Arial" w:cs="Arial"/>
          <w:b/>
          <w:sz w:val="22"/>
          <w:szCs w:val="22"/>
        </w:rPr>
        <w:t>Resultado Presupuestario</w:t>
      </w:r>
      <w:r>
        <w:rPr>
          <w:rFonts w:ascii="Arial" w:hAnsi="Arial" w:cs="Arial"/>
          <w:sz w:val="22"/>
          <w:szCs w:val="22"/>
        </w:rPr>
        <w:t xml:space="preserve"> obtenido de la Liquidación es:</w:t>
      </w:r>
    </w:p>
    <w:p w:rsidR="00825FE3" w:rsidRPr="008E3E0B" w:rsidRDefault="00825FE3" w:rsidP="008E3E0B">
      <w:pPr>
        <w:widowControl w:val="0"/>
        <w:autoSpaceDE w:val="0"/>
        <w:autoSpaceDN w:val="0"/>
        <w:adjustRightInd w:val="0"/>
        <w:spacing w:line="240" w:lineRule="atLeast"/>
        <w:jc w:val="both"/>
        <w:rPr>
          <w:rFonts w:ascii="Arial" w:hAnsi="Arial" w:cs="Arial"/>
          <w:sz w:val="22"/>
          <w:szCs w:val="22"/>
        </w:rPr>
      </w:pPr>
      <w:r>
        <w:rPr>
          <w:rFonts w:ascii="Arial" w:hAnsi="Arial" w:cs="Arial"/>
          <w:i/>
          <w:color w:val="0000FF"/>
          <w:sz w:val="18"/>
          <w:szCs w:val="18"/>
        </w:rPr>
        <w:t>(En S</w:t>
      </w:r>
      <w:r w:rsidRPr="008E3E0B">
        <w:rPr>
          <w:rFonts w:ascii="Arial" w:hAnsi="Arial" w:cs="Arial"/>
          <w:i/>
          <w:color w:val="0000FF"/>
          <w:sz w:val="18"/>
          <w:szCs w:val="18"/>
        </w:rPr>
        <w:t>icalwin esta información se obtiene</w:t>
      </w:r>
      <w:r>
        <w:rPr>
          <w:rFonts w:ascii="Arial" w:hAnsi="Arial" w:cs="Arial"/>
          <w:i/>
          <w:color w:val="0000FF"/>
          <w:sz w:val="18"/>
          <w:szCs w:val="18"/>
        </w:rPr>
        <w:t xml:space="preserve"> desde</w:t>
      </w:r>
      <w:r w:rsidRPr="008E3E0B">
        <w:rPr>
          <w:rFonts w:ascii="Arial" w:hAnsi="Arial" w:cs="Arial"/>
          <w:i/>
          <w:color w:val="0000FF"/>
          <w:sz w:val="18"/>
          <w:szCs w:val="18"/>
        </w:rPr>
        <w:t>:</w:t>
      </w:r>
      <w:r>
        <w:rPr>
          <w:rFonts w:ascii="Arial" w:hAnsi="Arial" w:cs="Arial"/>
          <w:i/>
          <w:color w:val="0000FF"/>
          <w:sz w:val="18"/>
          <w:szCs w:val="18"/>
        </w:rPr>
        <w:t xml:space="preserve"> Operaciones de Fin de Ejercicio//Procesos de cierre//pestaña superior Consultas Resultados de Cierre// botón izquierdo Resultado presupuestario)</w:t>
      </w:r>
    </w:p>
    <w:p w:rsidR="00CE2816" w:rsidRPr="00DC66A5" w:rsidRDefault="00CE2816" w:rsidP="008C0F21">
      <w:pPr>
        <w:widowControl w:val="0"/>
        <w:autoSpaceDE w:val="0"/>
        <w:autoSpaceDN w:val="0"/>
        <w:adjustRightInd w:val="0"/>
        <w:spacing w:line="240" w:lineRule="atLeast"/>
        <w:jc w:val="center"/>
        <w:rPr>
          <w:rFonts w:ascii="Arial" w:hAnsi="Arial"/>
          <w:b/>
          <w:u w:val="single"/>
        </w:rPr>
      </w:pPr>
    </w:p>
    <w:tbl>
      <w:tblPr>
        <w:tblpPr w:leftFromText="141" w:rightFromText="141" w:vertAnchor="text" w:horzAnchor="margin" w:tblpXSpec="center" w:tblpY="7"/>
        <w:tblW w:w="1017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077"/>
        <w:gridCol w:w="1560"/>
        <w:gridCol w:w="1559"/>
        <w:gridCol w:w="1276"/>
        <w:gridCol w:w="1701"/>
      </w:tblGrid>
      <w:tr w:rsidR="00F4773B" w:rsidRPr="00F87BCD" w:rsidTr="00C64099">
        <w:trPr>
          <w:jc w:val="center"/>
        </w:trPr>
        <w:tc>
          <w:tcPr>
            <w:tcW w:w="4077" w:type="dxa"/>
            <w:tcBorders>
              <w:top w:val="single" w:sz="4" w:space="0" w:color="auto"/>
              <w:bottom w:val="single" w:sz="6" w:space="0" w:color="auto"/>
            </w:tcBorders>
            <w:shd w:val="clear" w:color="auto" w:fill="FFFFFF"/>
          </w:tcPr>
          <w:p w:rsidR="002620DF" w:rsidRPr="005C0105" w:rsidRDefault="002620DF" w:rsidP="00B5573E">
            <w:pPr>
              <w:widowControl w:val="0"/>
              <w:autoSpaceDE w:val="0"/>
              <w:autoSpaceDN w:val="0"/>
              <w:adjustRightInd w:val="0"/>
              <w:spacing w:before="240" w:line="240" w:lineRule="atLeast"/>
              <w:jc w:val="center"/>
              <w:rPr>
                <w:rFonts w:ascii="Arial" w:hAnsi="Arial" w:cs="Arial"/>
                <w:b/>
                <w:sz w:val="17"/>
                <w:szCs w:val="17"/>
              </w:rPr>
            </w:pPr>
            <w:r w:rsidRPr="005C0105">
              <w:rPr>
                <w:rFonts w:ascii="Arial" w:hAnsi="Arial" w:cs="Arial"/>
                <w:b/>
                <w:sz w:val="17"/>
                <w:szCs w:val="17"/>
              </w:rPr>
              <w:t>CONCEPTOS</w:t>
            </w:r>
          </w:p>
        </w:tc>
        <w:tc>
          <w:tcPr>
            <w:tcW w:w="1560" w:type="dxa"/>
            <w:tcBorders>
              <w:top w:val="single" w:sz="4" w:space="0" w:color="auto"/>
              <w:bottom w:val="single" w:sz="4" w:space="0" w:color="auto"/>
            </w:tcBorders>
            <w:shd w:val="clear" w:color="auto" w:fill="FFFFFF"/>
          </w:tcPr>
          <w:p w:rsidR="002620DF" w:rsidRPr="005C0105" w:rsidRDefault="002620DF" w:rsidP="00F4773B">
            <w:pPr>
              <w:widowControl w:val="0"/>
              <w:autoSpaceDE w:val="0"/>
              <w:autoSpaceDN w:val="0"/>
              <w:adjustRightInd w:val="0"/>
              <w:spacing w:line="240" w:lineRule="atLeast"/>
              <w:jc w:val="center"/>
              <w:rPr>
                <w:rFonts w:ascii="Arial" w:hAnsi="Arial" w:cs="Arial"/>
                <w:b/>
                <w:caps/>
                <w:sz w:val="17"/>
                <w:szCs w:val="17"/>
              </w:rPr>
            </w:pPr>
            <w:r w:rsidRPr="005C0105">
              <w:rPr>
                <w:rFonts w:ascii="Arial" w:hAnsi="Arial" w:cs="Arial"/>
                <w:b/>
                <w:caps/>
                <w:sz w:val="17"/>
                <w:szCs w:val="17"/>
              </w:rPr>
              <w:t>Derechos</w:t>
            </w:r>
          </w:p>
          <w:p w:rsidR="002620DF" w:rsidRPr="005C0105" w:rsidRDefault="002620DF" w:rsidP="00F4773B">
            <w:pPr>
              <w:widowControl w:val="0"/>
              <w:autoSpaceDE w:val="0"/>
              <w:autoSpaceDN w:val="0"/>
              <w:adjustRightInd w:val="0"/>
              <w:spacing w:line="240" w:lineRule="atLeast"/>
              <w:jc w:val="center"/>
              <w:rPr>
                <w:rFonts w:ascii="Arial" w:hAnsi="Arial" w:cs="Arial"/>
                <w:b/>
                <w:caps/>
                <w:sz w:val="17"/>
                <w:szCs w:val="17"/>
              </w:rPr>
            </w:pPr>
            <w:r w:rsidRPr="005C0105">
              <w:rPr>
                <w:rFonts w:ascii="Arial" w:hAnsi="Arial" w:cs="Arial"/>
                <w:b/>
                <w:caps/>
                <w:sz w:val="17"/>
                <w:szCs w:val="17"/>
              </w:rPr>
              <w:t>Reconocidos</w:t>
            </w:r>
          </w:p>
          <w:p w:rsidR="002620DF" w:rsidRPr="005C0105" w:rsidRDefault="002620DF" w:rsidP="00B5573E">
            <w:pPr>
              <w:widowControl w:val="0"/>
              <w:autoSpaceDE w:val="0"/>
              <w:autoSpaceDN w:val="0"/>
              <w:adjustRightInd w:val="0"/>
              <w:spacing w:after="60" w:line="240" w:lineRule="atLeast"/>
              <w:jc w:val="center"/>
              <w:rPr>
                <w:rFonts w:ascii="Arial" w:hAnsi="Arial" w:cs="Arial"/>
                <w:b/>
                <w:sz w:val="17"/>
                <w:szCs w:val="17"/>
              </w:rPr>
            </w:pPr>
            <w:r w:rsidRPr="005C0105">
              <w:rPr>
                <w:rFonts w:ascii="Arial" w:hAnsi="Arial" w:cs="Arial"/>
                <w:b/>
                <w:caps/>
                <w:sz w:val="17"/>
                <w:szCs w:val="17"/>
              </w:rPr>
              <w:t>netos</w:t>
            </w:r>
            <w:r w:rsidRPr="005C0105">
              <w:rPr>
                <w:rFonts w:ascii="Arial" w:hAnsi="Arial" w:cs="Arial"/>
                <w:b/>
                <w:sz w:val="17"/>
                <w:szCs w:val="17"/>
              </w:rPr>
              <w:t xml:space="preserve"> </w:t>
            </w:r>
          </w:p>
        </w:tc>
        <w:tc>
          <w:tcPr>
            <w:tcW w:w="1559" w:type="dxa"/>
            <w:tcBorders>
              <w:top w:val="single" w:sz="4" w:space="0" w:color="auto"/>
              <w:bottom w:val="single" w:sz="4" w:space="0" w:color="auto"/>
            </w:tcBorders>
            <w:shd w:val="clear" w:color="auto" w:fill="FFFFFF"/>
          </w:tcPr>
          <w:p w:rsidR="002620DF" w:rsidRPr="005C0105" w:rsidRDefault="002620DF" w:rsidP="00F4773B">
            <w:pPr>
              <w:widowControl w:val="0"/>
              <w:autoSpaceDE w:val="0"/>
              <w:autoSpaceDN w:val="0"/>
              <w:adjustRightInd w:val="0"/>
              <w:spacing w:line="240" w:lineRule="atLeast"/>
              <w:jc w:val="center"/>
              <w:rPr>
                <w:rFonts w:ascii="Arial" w:hAnsi="Arial" w:cs="Arial"/>
                <w:b/>
                <w:caps/>
                <w:sz w:val="17"/>
                <w:szCs w:val="17"/>
              </w:rPr>
            </w:pPr>
            <w:r w:rsidRPr="005C0105">
              <w:rPr>
                <w:rFonts w:ascii="Arial" w:hAnsi="Arial" w:cs="Arial"/>
                <w:b/>
                <w:caps/>
                <w:sz w:val="17"/>
                <w:szCs w:val="17"/>
              </w:rPr>
              <w:t>Obligaciones</w:t>
            </w:r>
          </w:p>
          <w:p w:rsidR="002620DF" w:rsidRPr="005C0105" w:rsidRDefault="002620DF" w:rsidP="00F4773B">
            <w:pPr>
              <w:widowControl w:val="0"/>
              <w:autoSpaceDE w:val="0"/>
              <w:autoSpaceDN w:val="0"/>
              <w:adjustRightInd w:val="0"/>
              <w:spacing w:line="240" w:lineRule="atLeast"/>
              <w:jc w:val="center"/>
              <w:rPr>
                <w:rFonts w:ascii="Arial" w:hAnsi="Arial" w:cs="Arial"/>
                <w:b/>
                <w:caps/>
                <w:sz w:val="17"/>
                <w:szCs w:val="17"/>
              </w:rPr>
            </w:pPr>
            <w:r w:rsidRPr="005C0105">
              <w:rPr>
                <w:rFonts w:ascii="Arial" w:hAnsi="Arial" w:cs="Arial"/>
                <w:b/>
                <w:caps/>
                <w:sz w:val="17"/>
                <w:szCs w:val="17"/>
              </w:rPr>
              <w:t>reconocidas</w:t>
            </w:r>
          </w:p>
          <w:p w:rsidR="002620DF" w:rsidRPr="005C0105" w:rsidRDefault="002620DF" w:rsidP="00F4773B">
            <w:pPr>
              <w:widowControl w:val="0"/>
              <w:autoSpaceDE w:val="0"/>
              <w:autoSpaceDN w:val="0"/>
              <w:adjustRightInd w:val="0"/>
              <w:spacing w:line="240" w:lineRule="atLeast"/>
              <w:jc w:val="center"/>
              <w:rPr>
                <w:rFonts w:ascii="Arial" w:hAnsi="Arial" w:cs="Arial"/>
                <w:b/>
                <w:sz w:val="17"/>
                <w:szCs w:val="17"/>
              </w:rPr>
            </w:pPr>
            <w:r w:rsidRPr="005C0105">
              <w:rPr>
                <w:rFonts w:ascii="Arial" w:hAnsi="Arial" w:cs="Arial"/>
                <w:b/>
                <w:caps/>
                <w:sz w:val="17"/>
                <w:szCs w:val="17"/>
              </w:rPr>
              <w:t>netas</w:t>
            </w:r>
          </w:p>
        </w:tc>
        <w:tc>
          <w:tcPr>
            <w:tcW w:w="1276" w:type="dxa"/>
            <w:tcBorders>
              <w:top w:val="single" w:sz="4" w:space="0" w:color="auto"/>
              <w:bottom w:val="single" w:sz="6" w:space="0" w:color="auto"/>
            </w:tcBorders>
            <w:shd w:val="clear" w:color="auto" w:fill="FFFFFF"/>
          </w:tcPr>
          <w:p w:rsidR="002620DF" w:rsidRPr="005C0105" w:rsidRDefault="002620DF" w:rsidP="00B5573E">
            <w:pPr>
              <w:widowControl w:val="0"/>
              <w:autoSpaceDE w:val="0"/>
              <w:autoSpaceDN w:val="0"/>
              <w:adjustRightInd w:val="0"/>
              <w:spacing w:before="240" w:line="240" w:lineRule="atLeast"/>
              <w:jc w:val="center"/>
              <w:rPr>
                <w:rFonts w:ascii="Arial" w:hAnsi="Arial" w:cs="Arial"/>
                <w:b/>
                <w:caps/>
                <w:sz w:val="17"/>
                <w:szCs w:val="17"/>
              </w:rPr>
            </w:pPr>
            <w:r w:rsidRPr="00B5573E">
              <w:rPr>
                <w:rFonts w:ascii="Arial" w:hAnsi="Arial" w:cs="Arial"/>
                <w:b/>
                <w:sz w:val="17"/>
                <w:szCs w:val="17"/>
              </w:rPr>
              <w:t>Ajustes</w:t>
            </w:r>
          </w:p>
        </w:tc>
        <w:tc>
          <w:tcPr>
            <w:tcW w:w="1701" w:type="dxa"/>
            <w:tcBorders>
              <w:top w:val="single" w:sz="4" w:space="0" w:color="auto"/>
              <w:bottom w:val="single" w:sz="4" w:space="0" w:color="auto"/>
            </w:tcBorders>
            <w:shd w:val="clear" w:color="auto" w:fill="FFFFFF"/>
          </w:tcPr>
          <w:p w:rsidR="002620DF" w:rsidRPr="005C0105" w:rsidRDefault="002620DF" w:rsidP="00B5573E">
            <w:pPr>
              <w:widowControl w:val="0"/>
              <w:autoSpaceDE w:val="0"/>
              <w:autoSpaceDN w:val="0"/>
              <w:adjustRightInd w:val="0"/>
              <w:spacing w:before="120" w:line="240" w:lineRule="atLeast"/>
              <w:jc w:val="center"/>
              <w:rPr>
                <w:rFonts w:ascii="Arial" w:hAnsi="Arial" w:cs="Arial"/>
                <w:b/>
                <w:sz w:val="17"/>
                <w:szCs w:val="17"/>
              </w:rPr>
            </w:pPr>
            <w:r w:rsidRPr="005C0105">
              <w:rPr>
                <w:rFonts w:ascii="Arial" w:hAnsi="Arial" w:cs="Arial"/>
                <w:b/>
                <w:sz w:val="17"/>
                <w:szCs w:val="17"/>
              </w:rPr>
              <w:t xml:space="preserve">RESULTADO </w:t>
            </w:r>
          </w:p>
          <w:p w:rsidR="002620DF" w:rsidRPr="005C0105" w:rsidRDefault="002620DF" w:rsidP="00C64099">
            <w:pPr>
              <w:widowControl w:val="0"/>
              <w:autoSpaceDE w:val="0"/>
              <w:autoSpaceDN w:val="0"/>
              <w:adjustRightInd w:val="0"/>
              <w:spacing w:line="240" w:lineRule="atLeast"/>
              <w:ind w:left="-108" w:right="-108"/>
              <w:jc w:val="center"/>
              <w:rPr>
                <w:rFonts w:ascii="Arial" w:hAnsi="Arial" w:cs="Arial"/>
                <w:b/>
                <w:sz w:val="17"/>
                <w:szCs w:val="17"/>
              </w:rPr>
            </w:pPr>
            <w:r w:rsidRPr="005C0105">
              <w:rPr>
                <w:rFonts w:ascii="Arial" w:hAnsi="Arial" w:cs="Arial"/>
                <w:b/>
                <w:sz w:val="17"/>
                <w:szCs w:val="17"/>
              </w:rPr>
              <w:t>PRESUPUESTARIO</w:t>
            </w:r>
          </w:p>
        </w:tc>
      </w:tr>
      <w:tr w:rsidR="00F4773B" w:rsidRPr="00F87BCD" w:rsidTr="00C64099">
        <w:trPr>
          <w:jc w:val="center"/>
        </w:trPr>
        <w:tc>
          <w:tcPr>
            <w:tcW w:w="4077" w:type="dxa"/>
            <w:tcBorders>
              <w:top w:val="single" w:sz="6" w:space="0" w:color="auto"/>
              <w:left w:val="single" w:sz="4" w:space="0" w:color="auto"/>
              <w:bottom w:val="nil"/>
              <w:right w:val="single" w:sz="4" w:space="0" w:color="auto"/>
            </w:tcBorders>
            <w:shd w:val="clear" w:color="auto" w:fill="auto"/>
          </w:tcPr>
          <w:p w:rsidR="0058056A" w:rsidRPr="006C4AB5" w:rsidRDefault="00CE2816" w:rsidP="00F4773B">
            <w:pPr>
              <w:widowControl w:val="0"/>
              <w:autoSpaceDE w:val="0"/>
              <w:autoSpaceDN w:val="0"/>
              <w:adjustRightInd w:val="0"/>
              <w:spacing w:line="240" w:lineRule="atLeast"/>
              <w:ind w:left="-142"/>
              <w:jc w:val="both"/>
              <w:rPr>
                <w:rFonts w:ascii="Arial" w:hAnsi="Arial" w:cs="Arial"/>
                <w:sz w:val="18"/>
                <w:szCs w:val="18"/>
              </w:rPr>
            </w:pPr>
            <w:r w:rsidRPr="006C4AB5">
              <w:rPr>
                <w:rFonts w:ascii="Arial" w:hAnsi="Arial" w:cs="Arial"/>
                <w:sz w:val="18"/>
                <w:szCs w:val="18"/>
              </w:rPr>
              <w:t xml:space="preserve">   </w:t>
            </w:r>
            <w:r w:rsidR="002620DF" w:rsidRPr="006C4AB5">
              <w:rPr>
                <w:rFonts w:ascii="Arial" w:hAnsi="Arial" w:cs="Arial"/>
                <w:sz w:val="18"/>
                <w:szCs w:val="18"/>
              </w:rPr>
              <w:t xml:space="preserve"> </w:t>
            </w:r>
            <w:r w:rsidR="00262990" w:rsidRPr="006C4AB5">
              <w:rPr>
                <w:rFonts w:ascii="Arial" w:hAnsi="Arial" w:cs="Arial"/>
                <w:sz w:val="18"/>
                <w:szCs w:val="18"/>
              </w:rPr>
              <w:t xml:space="preserve">    a)</w:t>
            </w:r>
            <w:r w:rsidR="002620DF" w:rsidRPr="006C4AB5">
              <w:rPr>
                <w:rFonts w:ascii="Arial" w:hAnsi="Arial" w:cs="Arial"/>
                <w:sz w:val="18"/>
                <w:szCs w:val="18"/>
              </w:rPr>
              <w:t xml:space="preserve"> Operaciones corrientes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E04AD3">
            <w:pPr>
              <w:widowControl w:val="0"/>
              <w:autoSpaceDE w:val="0"/>
              <w:autoSpaceDN w:val="0"/>
              <w:adjustRightInd w:val="0"/>
              <w:spacing w:line="240" w:lineRule="atLeast"/>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276" w:type="dxa"/>
            <w:tcBorders>
              <w:top w:val="single" w:sz="6" w:space="0" w:color="auto"/>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r>
      <w:tr w:rsidR="00F4773B" w:rsidRPr="00F87BCD" w:rsidTr="00C64099">
        <w:trPr>
          <w:jc w:val="center"/>
        </w:trPr>
        <w:tc>
          <w:tcPr>
            <w:tcW w:w="4077" w:type="dxa"/>
            <w:tcBorders>
              <w:top w:val="nil"/>
              <w:left w:val="single" w:sz="4" w:space="0" w:color="auto"/>
              <w:bottom w:val="nil"/>
              <w:right w:val="single" w:sz="4" w:space="0" w:color="auto"/>
            </w:tcBorders>
            <w:shd w:val="clear" w:color="auto" w:fill="auto"/>
          </w:tcPr>
          <w:p w:rsidR="0058056A" w:rsidRPr="006C4AB5" w:rsidRDefault="00CE2816" w:rsidP="00F4773B">
            <w:pPr>
              <w:widowControl w:val="0"/>
              <w:autoSpaceDE w:val="0"/>
              <w:autoSpaceDN w:val="0"/>
              <w:adjustRightInd w:val="0"/>
              <w:spacing w:line="240" w:lineRule="atLeast"/>
              <w:ind w:left="-142"/>
              <w:jc w:val="both"/>
              <w:rPr>
                <w:rFonts w:ascii="Arial" w:hAnsi="Arial" w:cs="Arial"/>
                <w:sz w:val="18"/>
                <w:szCs w:val="18"/>
              </w:rPr>
            </w:pPr>
            <w:r w:rsidRPr="006C4AB5">
              <w:rPr>
                <w:rFonts w:ascii="Arial" w:hAnsi="Arial" w:cs="Arial"/>
                <w:sz w:val="18"/>
                <w:szCs w:val="18"/>
              </w:rPr>
              <w:t xml:space="preserve">   </w:t>
            </w:r>
            <w:r w:rsidR="00262990" w:rsidRPr="006C4AB5">
              <w:rPr>
                <w:rFonts w:ascii="Arial" w:hAnsi="Arial" w:cs="Arial"/>
                <w:sz w:val="18"/>
                <w:szCs w:val="18"/>
              </w:rPr>
              <w:t xml:space="preserve">    </w:t>
            </w:r>
            <w:r w:rsidRPr="006C4AB5">
              <w:rPr>
                <w:rFonts w:ascii="Arial" w:hAnsi="Arial" w:cs="Arial"/>
                <w:sz w:val="18"/>
                <w:szCs w:val="18"/>
              </w:rPr>
              <w:t xml:space="preserve"> b</w:t>
            </w:r>
            <w:r w:rsidR="00262990" w:rsidRPr="006C4AB5">
              <w:rPr>
                <w:rFonts w:ascii="Arial" w:hAnsi="Arial" w:cs="Arial"/>
                <w:sz w:val="18"/>
                <w:szCs w:val="18"/>
              </w:rPr>
              <w:t>)</w:t>
            </w:r>
            <w:r w:rsidRPr="006C4AB5">
              <w:rPr>
                <w:rFonts w:ascii="Arial" w:hAnsi="Arial" w:cs="Arial"/>
                <w:sz w:val="18"/>
                <w:szCs w:val="18"/>
              </w:rPr>
              <w:t xml:space="preserve"> </w:t>
            </w:r>
            <w:r w:rsidR="002620DF" w:rsidRPr="006C4AB5">
              <w:rPr>
                <w:rFonts w:ascii="Arial" w:hAnsi="Arial" w:cs="Arial"/>
                <w:sz w:val="18"/>
                <w:szCs w:val="18"/>
              </w:rPr>
              <w:t>Otras operaciones no financieras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r>
      <w:tr w:rsidR="00F4773B" w:rsidRPr="00F87BCD" w:rsidTr="00C64099">
        <w:trPr>
          <w:jc w:val="center"/>
        </w:trPr>
        <w:tc>
          <w:tcPr>
            <w:tcW w:w="4077" w:type="dxa"/>
            <w:tcBorders>
              <w:top w:val="nil"/>
              <w:left w:val="single" w:sz="4" w:space="0" w:color="auto"/>
              <w:bottom w:val="nil"/>
              <w:right w:val="single" w:sz="4" w:space="0" w:color="auto"/>
            </w:tcBorders>
            <w:shd w:val="clear" w:color="auto" w:fill="auto"/>
          </w:tcPr>
          <w:p w:rsidR="0058056A" w:rsidRPr="006C4AB5" w:rsidRDefault="002620DF" w:rsidP="00F4773B">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1.Total operaciones no financieras (a+b)</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r>
      <w:tr w:rsidR="00F4773B" w:rsidRPr="00F87BCD" w:rsidTr="00C64099">
        <w:trPr>
          <w:jc w:val="center"/>
        </w:trPr>
        <w:tc>
          <w:tcPr>
            <w:tcW w:w="4077" w:type="dxa"/>
            <w:tcBorders>
              <w:top w:val="nil"/>
              <w:left w:val="single" w:sz="4" w:space="0" w:color="auto"/>
              <w:bottom w:val="nil"/>
              <w:right w:val="single" w:sz="4" w:space="0" w:color="auto"/>
            </w:tcBorders>
            <w:shd w:val="clear" w:color="auto" w:fill="auto"/>
          </w:tcPr>
          <w:p w:rsidR="0058056A" w:rsidRPr="006C4AB5" w:rsidRDefault="00262990" w:rsidP="00F4773B">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 xml:space="preserve">     c)</w:t>
            </w:r>
            <w:r w:rsidR="002620DF" w:rsidRPr="006C4AB5">
              <w:rPr>
                <w:rFonts w:ascii="Arial" w:hAnsi="Arial" w:cs="Arial"/>
                <w:sz w:val="18"/>
                <w:szCs w:val="18"/>
              </w:rPr>
              <w:t xml:space="preserve"> Activos financieros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r>
      <w:tr w:rsidR="00F4773B" w:rsidRPr="00F87BCD" w:rsidTr="00C64099">
        <w:trPr>
          <w:jc w:val="center"/>
        </w:trPr>
        <w:tc>
          <w:tcPr>
            <w:tcW w:w="4077" w:type="dxa"/>
            <w:tcBorders>
              <w:top w:val="nil"/>
              <w:left w:val="single" w:sz="4" w:space="0" w:color="auto"/>
              <w:bottom w:val="nil"/>
              <w:right w:val="single" w:sz="4" w:space="0" w:color="auto"/>
            </w:tcBorders>
            <w:shd w:val="clear" w:color="auto" w:fill="auto"/>
          </w:tcPr>
          <w:p w:rsidR="0058056A" w:rsidRPr="006C4AB5" w:rsidRDefault="00262990" w:rsidP="00F4773B">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 xml:space="preserve">     d)</w:t>
            </w:r>
            <w:r w:rsidR="002620DF" w:rsidRPr="006C4AB5">
              <w:rPr>
                <w:rFonts w:ascii="Arial" w:hAnsi="Arial" w:cs="Arial"/>
                <w:sz w:val="18"/>
                <w:szCs w:val="18"/>
              </w:rPr>
              <w:t xml:space="preserve"> Pasivos financieros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r>
      <w:tr w:rsidR="00262990" w:rsidRPr="00F87BCD" w:rsidTr="00C64099">
        <w:trPr>
          <w:jc w:val="center"/>
        </w:trPr>
        <w:tc>
          <w:tcPr>
            <w:tcW w:w="4077" w:type="dxa"/>
            <w:tcBorders>
              <w:top w:val="nil"/>
              <w:left w:val="single" w:sz="4" w:space="0" w:color="auto"/>
              <w:bottom w:val="nil"/>
              <w:right w:val="single" w:sz="4" w:space="0" w:color="auto"/>
            </w:tcBorders>
            <w:shd w:val="clear" w:color="auto" w:fill="auto"/>
          </w:tcPr>
          <w:p w:rsidR="0058056A" w:rsidRPr="006C4AB5" w:rsidRDefault="0058056A" w:rsidP="00F4773B">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2. Total operaciones financieras (c+d)</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62990" w:rsidRPr="006C4AB5" w:rsidRDefault="00262990" w:rsidP="00F4773B">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2990" w:rsidRPr="006C4AB5" w:rsidRDefault="00262990" w:rsidP="00F4773B">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262990" w:rsidRPr="006C4AB5" w:rsidRDefault="00262990"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62990" w:rsidRPr="006C4AB5" w:rsidRDefault="00262990" w:rsidP="00F4773B">
            <w:pPr>
              <w:widowControl w:val="0"/>
              <w:autoSpaceDE w:val="0"/>
              <w:autoSpaceDN w:val="0"/>
              <w:adjustRightInd w:val="0"/>
              <w:spacing w:line="240" w:lineRule="atLeast"/>
              <w:jc w:val="right"/>
              <w:rPr>
                <w:rFonts w:ascii="Arial" w:hAnsi="Arial" w:cs="Arial"/>
                <w:sz w:val="18"/>
                <w:szCs w:val="18"/>
              </w:rPr>
            </w:pPr>
          </w:p>
        </w:tc>
      </w:tr>
      <w:tr w:rsidR="004E10D8" w:rsidRPr="00F87BCD" w:rsidTr="00C64099">
        <w:trPr>
          <w:jc w:val="center"/>
        </w:trPr>
        <w:tc>
          <w:tcPr>
            <w:tcW w:w="4077" w:type="dxa"/>
            <w:tcBorders>
              <w:top w:val="nil"/>
              <w:left w:val="single" w:sz="4" w:space="0" w:color="auto"/>
              <w:bottom w:val="single" w:sz="4" w:space="0" w:color="auto"/>
              <w:right w:val="single" w:sz="4" w:space="0" w:color="auto"/>
            </w:tcBorders>
            <w:shd w:val="clear" w:color="auto" w:fill="auto"/>
          </w:tcPr>
          <w:p w:rsidR="004E10D8" w:rsidRPr="006C4AB5" w:rsidRDefault="00243584" w:rsidP="00243584">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 xml:space="preserve">I. </w:t>
            </w:r>
            <w:r w:rsidR="004E10D8" w:rsidRPr="006C4AB5">
              <w:rPr>
                <w:rFonts w:ascii="Arial" w:hAnsi="Arial" w:cs="Arial"/>
                <w:sz w:val="18"/>
                <w:szCs w:val="18"/>
              </w:rPr>
              <w:t>RESULTADO</w:t>
            </w:r>
            <w:r w:rsidRPr="006C4AB5">
              <w:rPr>
                <w:rFonts w:ascii="Arial" w:hAnsi="Arial" w:cs="Arial"/>
                <w:sz w:val="18"/>
                <w:szCs w:val="18"/>
              </w:rPr>
              <w:t xml:space="preserve"> </w:t>
            </w:r>
            <w:r w:rsidR="004E10D8" w:rsidRPr="006C4AB5">
              <w:rPr>
                <w:rFonts w:ascii="Arial" w:hAnsi="Arial" w:cs="Arial"/>
                <w:sz w:val="18"/>
                <w:szCs w:val="18"/>
              </w:rPr>
              <w:t>PRESUPUESTARIO DEL EJERCICIO (I=1+2)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E10D8" w:rsidRPr="006C4AB5" w:rsidRDefault="004E10D8" w:rsidP="00F4773B">
            <w:pPr>
              <w:widowControl w:val="0"/>
              <w:autoSpaceDE w:val="0"/>
              <w:autoSpaceDN w:val="0"/>
              <w:adjustRightInd w:val="0"/>
              <w:spacing w:line="240" w:lineRule="atLeast"/>
              <w:jc w:val="right"/>
              <w:rPr>
                <w:rFonts w:ascii="Arial" w:hAnsi="Arial" w:cs="Arial"/>
                <w:sz w:val="18"/>
                <w:szCs w:val="18"/>
              </w:rPr>
            </w:pPr>
          </w:p>
          <w:p w:rsidR="00212AAB" w:rsidRPr="006C4AB5" w:rsidRDefault="00212AAB" w:rsidP="00F4773B">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2AAB" w:rsidRPr="006C4AB5" w:rsidRDefault="00212AAB" w:rsidP="00F4773B">
            <w:pPr>
              <w:jc w:val="right"/>
              <w:rPr>
                <w:rFonts w:ascii="Arial" w:hAnsi="Arial" w:cs="Arial"/>
                <w:sz w:val="18"/>
                <w:szCs w:val="18"/>
              </w:rPr>
            </w:pPr>
          </w:p>
          <w:p w:rsidR="004E10D8" w:rsidRPr="006C4AB5" w:rsidRDefault="004E10D8" w:rsidP="00F4773B">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4E10D8" w:rsidRPr="006C4AB5" w:rsidRDefault="004E10D8"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10D8" w:rsidRPr="006C4AB5" w:rsidRDefault="004E10D8" w:rsidP="00F4773B">
            <w:pPr>
              <w:widowControl w:val="0"/>
              <w:autoSpaceDE w:val="0"/>
              <w:autoSpaceDN w:val="0"/>
              <w:adjustRightInd w:val="0"/>
              <w:spacing w:line="240" w:lineRule="atLeast"/>
              <w:jc w:val="right"/>
              <w:rPr>
                <w:rFonts w:ascii="Arial" w:hAnsi="Arial" w:cs="Arial"/>
                <w:sz w:val="18"/>
                <w:szCs w:val="18"/>
              </w:rPr>
            </w:pPr>
          </w:p>
          <w:p w:rsidR="00212AAB" w:rsidRPr="006C4AB5" w:rsidRDefault="00212AAB" w:rsidP="00F4773B">
            <w:pPr>
              <w:widowControl w:val="0"/>
              <w:autoSpaceDE w:val="0"/>
              <w:autoSpaceDN w:val="0"/>
              <w:adjustRightInd w:val="0"/>
              <w:spacing w:line="240" w:lineRule="atLeast"/>
              <w:jc w:val="right"/>
              <w:rPr>
                <w:rFonts w:ascii="Arial" w:hAnsi="Arial" w:cs="Arial"/>
                <w:sz w:val="18"/>
                <w:szCs w:val="18"/>
              </w:rPr>
            </w:pPr>
          </w:p>
        </w:tc>
      </w:tr>
      <w:tr w:rsidR="00F4773B" w:rsidRPr="00F87BCD" w:rsidTr="00C64099">
        <w:trPr>
          <w:jc w:val="center"/>
        </w:trPr>
        <w:tc>
          <w:tcPr>
            <w:tcW w:w="4077" w:type="dxa"/>
            <w:tcBorders>
              <w:top w:val="single" w:sz="4" w:space="0" w:color="auto"/>
              <w:left w:val="single" w:sz="4" w:space="0" w:color="auto"/>
              <w:bottom w:val="nil"/>
              <w:right w:val="nil"/>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c>
          <w:tcPr>
            <w:tcW w:w="1560" w:type="dxa"/>
            <w:tcBorders>
              <w:top w:val="single" w:sz="4" w:space="0" w:color="auto"/>
              <w:left w:val="nil"/>
              <w:bottom w:val="nil"/>
              <w:right w:val="nil"/>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c>
          <w:tcPr>
            <w:tcW w:w="1559" w:type="dxa"/>
            <w:tcBorders>
              <w:top w:val="single" w:sz="4" w:space="0" w:color="auto"/>
              <w:left w:val="nil"/>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c>
          <w:tcPr>
            <w:tcW w:w="1701" w:type="dxa"/>
            <w:tcBorders>
              <w:top w:val="single" w:sz="4" w:space="0" w:color="auto"/>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r>
      <w:tr w:rsidR="004E10D8" w:rsidRPr="00F87BCD" w:rsidTr="00C64099">
        <w:trPr>
          <w:jc w:val="center"/>
        </w:trPr>
        <w:tc>
          <w:tcPr>
            <w:tcW w:w="5637" w:type="dxa"/>
            <w:gridSpan w:val="2"/>
            <w:tcBorders>
              <w:top w:val="nil"/>
              <w:left w:val="single" w:sz="4" w:space="0" w:color="auto"/>
              <w:bottom w:val="nil"/>
              <w:right w:val="nil"/>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u w:val="single"/>
              </w:rPr>
              <w:t>AJUSTES</w:t>
            </w:r>
          </w:p>
        </w:tc>
        <w:tc>
          <w:tcPr>
            <w:tcW w:w="1559" w:type="dxa"/>
            <w:tcBorders>
              <w:top w:val="nil"/>
              <w:left w:val="nil"/>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c>
          <w:tcPr>
            <w:tcW w:w="1701" w:type="dxa"/>
            <w:tcBorders>
              <w:top w:val="nil"/>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r>
      <w:tr w:rsidR="00262990" w:rsidRPr="00F87BCD" w:rsidTr="00C64099">
        <w:trPr>
          <w:trHeight w:val="309"/>
          <w:jc w:val="center"/>
        </w:trPr>
        <w:tc>
          <w:tcPr>
            <w:tcW w:w="7196" w:type="dxa"/>
            <w:gridSpan w:val="3"/>
            <w:tcBorders>
              <w:top w:val="nil"/>
              <w:left w:val="single" w:sz="4" w:space="0" w:color="auto"/>
              <w:bottom w:val="nil"/>
              <w:right w:val="single" w:sz="4" w:space="0" w:color="auto"/>
            </w:tcBorders>
            <w:shd w:val="clear" w:color="auto" w:fill="auto"/>
          </w:tcPr>
          <w:p w:rsidR="002620DF" w:rsidRPr="006C4AB5" w:rsidRDefault="004E10D8" w:rsidP="00F4773B">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3</w:t>
            </w:r>
            <w:r w:rsidR="002620DF" w:rsidRPr="006C4AB5">
              <w:rPr>
                <w:rFonts w:ascii="Arial" w:hAnsi="Arial" w:cs="Arial"/>
                <w:sz w:val="18"/>
                <w:szCs w:val="18"/>
              </w:rPr>
              <w:t>. Créditos gastados financiados con remanente de tesorería para gastos generales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2AAB" w:rsidRPr="006C4AB5" w:rsidRDefault="00212AAB"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nil"/>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r>
      <w:tr w:rsidR="00262990" w:rsidRPr="00F87BCD" w:rsidTr="00C64099">
        <w:trPr>
          <w:jc w:val="center"/>
        </w:trPr>
        <w:tc>
          <w:tcPr>
            <w:tcW w:w="7196" w:type="dxa"/>
            <w:gridSpan w:val="3"/>
            <w:tcBorders>
              <w:top w:val="nil"/>
              <w:left w:val="single" w:sz="4" w:space="0" w:color="auto"/>
              <w:bottom w:val="nil"/>
              <w:right w:val="single" w:sz="4" w:space="0" w:color="auto"/>
            </w:tcBorders>
            <w:shd w:val="clear" w:color="auto" w:fill="auto"/>
          </w:tcPr>
          <w:p w:rsidR="002620DF" w:rsidRPr="006C4AB5" w:rsidRDefault="004E10D8" w:rsidP="00F4773B">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4</w:t>
            </w:r>
            <w:r w:rsidR="002620DF" w:rsidRPr="006C4AB5">
              <w:rPr>
                <w:rFonts w:ascii="Arial" w:hAnsi="Arial" w:cs="Arial"/>
                <w:sz w:val="18"/>
                <w:szCs w:val="18"/>
              </w:rPr>
              <w:t>. Desviaciones de financiación negativas del ejercicio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nil"/>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r>
      <w:tr w:rsidR="00262990" w:rsidRPr="00F87BCD" w:rsidTr="00C64099">
        <w:trPr>
          <w:jc w:val="center"/>
        </w:trPr>
        <w:tc>
          <w:tcPr>
            <w:tcW w:w="7196" w:type="dxa"/>
            <w:gridSpan w:val="3"/>
            <w:tcBorders>
              <w:top w:val="nil"/>
              <w:left w:val="single" w:sz="4" w:space="0" w:color="auto"/>
              <w:bottom w:val="nil"/>
              <w:right w:val="single" w:sz="4" w:space="0" w:color="auto"/>
            </w:tcBorders>
            <w:shd w:val="clear" w:color="auto" w:fill="auto"/>
          </w:tcPr>
          <w:p w:rsidR="002620DF" w:rsidRPr="006C4AB5" w:rsidRDefault="004E10D8" w:rsidP="00F4773B">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5</w:t>
            </w:r>
            <w:r w:rsidR="002620DF" w:rsidRPr="006C4AB5">
              <w:rPr>
                <w:rFonts w:ascii="Arial" w:hAnsi="Arial" w:cs="Arial"/>
                <w:sz w:val="18"/>
                <w:szCs w:val="18"/>
              </w:rPr>
              <w:t>. Desviaciones de financiación positivas del ejercicio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nil"/>
              <w:left w:val="single" w:sz="4" w:space="0" w:color="auto"/>
              <w:bottom w:val="nil"/>
              <w:right w:val="single" w:sz="4" w:space="0" w:color="auto"/>
            </w:tcBorders>
            <w:shd w:val="clear" w:color="auto" w:fill="auto"/>
          </w:tcPr>
          <w:p w:rsidR="002620DF" w:rsidRPr="006C4AB5" w:rsidRDefault="002620DF" w:rsidP="00F4773B">
            <w:pPr>
              <w:widowControl w:val="0"/>
              <w:autoSpaceDE w:val="0"/>
              <w:autoSpaceDN w:val="0"/>
              <w:adjustRightInd w:val="0"/>
              <w:spacing w:line="240" w:lineRule="atLeast"/>
              <w:jc w:val="both"/>
              <w:rPr>
                <w:rFonts w:ascii="Arial" w:hAnsi="Arial" w:cs="Arial"/>
                <w:sz w:val="18"/>
                <w:szCs w:val="18"/>
              </w:rPr>
            </w:pPr>
          </w:p>
        </w:tc>
      </w:tr>
      <w:tr w:rsidR="000372DE" w:rsidRPr="00F87BCD" w:rsidTr="00C64099">
        <w:trPr>
          <w:jc w:val="center"/>
        </w:trPr>
        <w:tc>
          <w:tcPr>
            <w:tcW w:w="7196" w:type="dxa"/>
            <w:gridSpan w:val="3"/>
            <w:tcBorders>
              <w:top w:val="nil"/>
              <w:left w:val="single" w:sz="4" w:space="0" w:color="auto"/>
              <w:bottom w:val="nil"/>
              <w:right w:val="single" w:sz="4" w:space="0" w:color="auto"/>
            </w:tcBorders>
            <w:shd w:val="clear" w:color="auto" w:fill="auto"/>
          </w:tcPr>
          <w:p w:rsidR="000372DE" w:rsidRPr="006C4AB5" w:rsidRDefault="000372DE" w:rsidP="00F4773B">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II TOTAL AJUSTES (II=3+4-5)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372DE" w:rsidRPr="006C4AB5" w:rsidRDefault="000372DE" w:rsidP="00F4773B">
            <w:pPr>
              <w:widowControl w:val="0"/>
              <w:autoSpaceDE w:val="0"/>
              <w:autoSpaceDN w:val="0"/>
              <w:adjustRightInd w:val="0"/>
              <w:spacing w:line="240" w:lineRule="atLeast"/>
              <w:jc w:val="right"/>
              <w:rPr>
                <w:rFonts w:ascii="Arial" w:hAnsi="Arial" w:cs="Arial"/>
                <w:sz w:val="18"/>
                <w:szCs w:val="18"/>
              </w:rPr>
            </w:pPr>
          </w:p>
        </w:tc>
        <w:tc>
          <w:tcPr>
            <w:tcW w:w="1701" w:type="dxa"/>
            <w:tcBorders>
              <w:top w:val="nil"/>
              <w:left w:val="single" w:sz="4" w:space="0" w:color="auto"/>
              <w:bottom w:val="single" w:sz="4" w:space="0" w:color="auto"/>
              <w:right w:val="single" w:sz="4" w:space="0" w:color="auto"/>
            </w:tcBorders>
            <w:shd w:val="clear" w:color="auto" w:fill="auto"/>
          </w:tcPr>
          <w:p w:rsidR="000372DE" w:rsidRPr="006C4AB5" w:rsidRDefault="000372DE" w:rsidP="00F4773B">
            <w:pPr>
              <w:widowControl w:val="0"/>
              <w:autoSpaceDE w:val="0"/>
              <w:autoSpaceDN w:val="0"/>
              <w:adjustRightInd w:val="0"/>
              <w:spacing w:line="240" w:lineRule="atLeast"/>
              <w:jc w:val="right"/>
              <w:rPr>
                <w:rFonts w:ascii="Arial" w:hAnsi="Arial" w:cs="Arial"/>
                <w:sz w:val="18"/>
                <w:szCs w:val="18"/>
              </w:rPr>
            </w:pPr>
          </w:p>
        </w:tc>
      </w:tr>
      <w:tr w:rsidR="00212AAB" w:rsidRPr="00F87BCD" w:rsidTr="00C64099">
        <w:trPr>
          <w:trHeight w:val="164"/>
          <w:jc w:val="center"/>
        </w:trPr>
        <w:tc>
          <w:tcPr>
            <w:tcW w:w="8472" w:type="dxa"/>
            <w:gridSpan w:val="4"/>
            <w:tcBorders>
              <w:top w:val="nil"/>
              <w:left w:val="single" w:sz="4" w:space="0" w:color="auto"/>
              <w:bottom w:val="nil"/>
              <w:right w:val="single" w:sz="4" w:space="0" w:color="auto"/>
            </w:tcBorders>
            <w:shd w:val="clear" w:color="auto" w:fill="auto"/>
          </w:tcPr>
          <w:p w:rsidR="00212AAB" w:rsidRPr="006C4AB5" w:rsidRDefault="00212AAB" w:rsidP="00F4773B">
            <w:pPr>
              <w:widowControl w:val="0"/>
              <w:autoSpaceDE w:val="0"/>
              <w:autoSpaceDN w:val="0"/>
              <w:adjustRightInd w:val="0"/>
              <w:spacing w:line="240" w:lineRule="atLeast"/>
              <w:jc w:val="both"/>
              <w:rPr>
                <w:rFonts w:ascii="Arial" w:hAnsi="Arial" w:cs="Arial"/>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212AAB" w:rsidRPr="006C4AB5" w:rsidRDefault="00212AAB" w:rsidP="00F4773B">
            <w:pPr>
              <w:widowControl w:val="0"/>
              <w:autoSpaceDE w:val="0"/>
              <w:autoSpaceDN w:val="0"/>
              <w:adjustRightInd w:val="0"/>
              <w:spacing w:line="240" w:lineRule="atLeast"/>
              <w:jc w:val="right"/>
              <w:rPr>
                <w:rFonts w:ascii="Arial" w:hAnsi="Arial" w:cs="Arial"/>
                <w:sz w:val="18"/>
                <w:szCs w:val="18"/>
              </w:rPr>
            </w:pPr>
          </w:p>
          <w:p w:rsidR="00212AAB" w:rsidRPr="006C4AB5" w:rsidRDefault="00212AAB" w:rsidP="00F4773B">
            <w:pPr>
              <w:widowControl w:val="0"/>
              <w:autoSpaceDE w:val="0"/>
              <w:autoSpaceDN w:val="0"/>
              <w:adjustRightInd w:val="0"/>
              <w:spacing w:line="240" w:lineRule="atLeast"/>
              <w:jc w:val="right"/>
              <w:rPr>
                <w:rFonts w:ascii="Arial" w:hAnsi="Arial" w:cs="Arial"/>
                <w:sz w:val="18"/>
                <w:szCs w:val="18"/>
              </w:rPr>
            </w:pPr>
          </w:p>
        </w:tc>
      </w:tr>
      <w:tr w:rsidR="00212AAB" w:rsidRPr="00F87BCD" w:rsidTr="00C64099">
        <w:trPr>
          <w:jc w:val="center"/>
        </w:trPr>
        <w:tc>
          <w:tcPr>
            <w:tcW w:w="8472" w:type="dxa"/>
            <w:gridSpan w:val="4"/>
            <w:tcBorders>
              <w:top w:val="nil"/>
              <w:left w:val="single" w:sz="4" w:space="0" w:color="auto"/>
              <w:bottom w:val="single" w:sz="4" w:space="0" w:color="auto"/>
              <w:right w:val="single" w:sz="4" w:space="0" w:color="auto"/>
            </w:tcBorders>
            <w:shd w:val="clear" w:color="auto" w:fill="auto"/>
          </w:tcPr>
          <w:p w:rsidR="00212AAB" w:rsidRPr="006C4AB5" w:rsidRDefault="00212AAB" w:rsidP="00F4773B">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RESULTADO PRESUPUESTARIO AJUSTADO (I+II)</w:t>
            </w: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212AAB" w:rsidRPr="0058056A" w:rsidRDefault="00212AAB" w:rsidP="00F4773B">
            <w:pPr>
              <w:widowControl w:val="0"/>
              <w:autoSpaceDE w:val="0"/>
              <w:autoSpaceDN w:val="0"/>
              <w:adjustRightInd w:val="0"/>
              <w:spacing w:line="240" w:lineRule="atLeast"/>
              <w:jc w:val="both"/>
              <w:rPr>
                <w:rFonts w:ascii="Arial" w:hAnsi="Arial" w:cs="Arial"/>
                <w:sz w:val="20"/>
                <w:szCs w:val="20"/>
              </w:rPr>
            </w:pPr>
          </w:p>
        </w:tc>
      </w:tr>
    </w:tbl>
    <w:p w:rsidR="00B81DFA" w:rsidRDefault="00B81DFA" w:rsidP="008C0F21">
      <w:pPr>
        <w:widowControl w:val="0"/>
        <w:autoSpaceDE w:val="0"/>
        <w:autoSpaceDN w:val="0"/>
        <w:adjustRightInd w:val="0"/>
        <w:spacing w:line="240" w:lineRule="atLeast"/>
        <w:jc w:val="center"/>
        <w:rPr>
          <w:rFonts w:ascii="Arial" w:hAnsi="Arial"/>
          <w:b/>
          <w:u w:val="single"/>
        </w:rPr>
      </w:pPr>
    </w:p>
    <w:p w:rsidR="009046B2" w:rsidRDefault="009046B2" w:rsidP="00000A29">
      <w:pPr>
        <w:widowControl w:val="0"/>
        <w:autoSpaceDE w:val="0"/>
        <w:autoSpaceDN w:val="0"/>
        <w:adjustRightInd w:val="0"/>
        <w:spacing w:line="240" w:lineRule="atLeast"/>
        <w:jc w:val="both"/>
        <w:rPr>
          <w:rFonts w:ascii="Arial" w:hAnsi="Arial" w:cs="Arial"/>
          <w:sz w:val="22"/>
          <w:szCs w:val="22"/>
        </w:rPr>
      </w:pPr>
    </w:p>
    <w:p w:rsidR="00000A29" w:rsidRDefault="006B786A" w:rsidP="00000A29">
      <w:pPr>
        <w:widowControl w:val="0"/>
        <w:autoSpaceDE w:val="0"/>
        <w:autoSpaceDN w:val="0"/>
        <w:adjustRightInd w:val="0"/>
        <w:spacing w:line="240" w:lineRule="atLeast"/>
        <w:jc w:val="both"/>
        <w:rPr>
          <w:rFonts w:ascii="Arial" w:hAnsi="Arial" w:cs="Arial"/>
          <w:sz w:val="22"/>
          <w:szCs w:val="22"/>
        </w:rPr>
      </w:pPr>
      <w:r>
        <w:rPr>
          <w:rFonts w:ascii="Arial" w:hAnsi="Arial" w:cs="Arial"/>
          <w:sz w:val="22"/>
          <w:szCs w:val="22"/>
        </w:rPr>
        <w:tab/>
      </w:r>
      <w:r w:rsidR="00000A29">
        <w:rPr>
          <w:rFonts w:ascii="Arial" w:hAnsi="Arial" w:cs="Arial"/>
          <w:sz w:val="22"/>
          <w:szCs w:val="22"/>
        </w:rPr>
        <w:t xml:space="preserve">d) El </w:t>
      </w:r>
      <w:r w:rsidR="00000A29" w:rsidRPr="009C0306">
        <w:rPr>
          <w:rFonts w:ascii="Arial" w:hAnsi="Arial" w:cs="Arial"/>
          <w:b/>
          <w:sz w:val="22"/>
          <w:szCs w:val="22"/>
        </w:rPr>
        <w:t>Remanente de Tesorería</w:t>
      </w:r>
      <w:r w:rsidR="00000A29">
        <w:rPr>
          <w:rFonts w:ascii="Arial" w:hAnsi="Arial" w:cs="Arial"/>
          <w:sz w:val="22"/>
          <w:szCs w:val="22"/>
        </w:rPr>
        <w:t xml:space="preserve"> obtenido de la Liquidación es:</w:t>
      </w:r>
    </w:p>
    <w:p w:rsidR="006B786A" w:rsidRDefault="006B786A" w:rsidP="00000A29">
      <w:pPr>
        <w:widowControl w:val="0"/>
        <w:autoSpaceDE w:val="0"/>
        <w:autoSpaceDN w:val="0"/>
        <w:adjustRightInd w:val="0"/>
        <w:spacing w:line="240" w:lineRule="atLeast"/>
        <w:jc w:val="both"/>
        <w:rPr>
          <w:rFonts w:ascii="Arial" w:hAnsi="Arial" w:cs="Arial"/>
          <w:sz w:val="22"/>
          <w:szCs w:val="22"/>
        </w:rPr>
      </w:pPr>
      <w:r>
        <w:rPr>
          <w:rFonts w:ascii="Arial" w:hAnsi="Arial" w:cs="Arial"/>
          <w:i/>
          <w:color w:val="0000FF"/>
          <w:sz w:val="18"/>
          <w:szCs w:val="18"/>
        </w:rPr>
        <w:t>(En S</w:t>
      </w:r>
      <w:r w:rsidRPr="008E3E0B">
        <w:rPr>
          <w:rFonts w:ascii="Arial" w:hAnsi="Arial" w:cs="Arial"/>
          <w:i/>
          <w:color w:val="0000FF"/>
          <w:sz w:val="18"/>
          <w:szCs w:val="18"/>
        </w:rPr>
        <w:t>icalwin esta información se obtiene</w:t>
      </w:r>
      <w:r>
        <w:rPr>
          <w:rFonts w:ascii="Arial" w:hAnsi="Arial" w:cs="Arial"/>
          <w:i/>
          <w:color w:val="0000FF"/>
          <w:sz w:val="18"/>
          <w:szCs w:val="18"/>
        </w:rPr>
        <w:t xml:space="preserve"> desde</w:t>
      </w:r>
      <w:r w:rsidRPr="008E3E0B">
        <w:rPr>
          <w:rFonts w:ascii="Arial" w:hAnsi="Arial" w:cs="Arial"/>
          <w:i/>
          <w:color w:val="0000FF"/>
          <w:sz w:val="18"/>
          <w:szCs w:val="18"/>
        </w:rPr>
        <w:t>:</w:t>
      </w:r>
      <w:r>
        <w:rPr>
          <w:rFonts w:ascii="Arial" w:hAnsi="Arial" w:cs="Arial"/>
          <w:i/>
          <w:color w:val="0000FF"/>
          <w:sz w:val="18"/>
          <w:szCs w:val="18"/>
        </w:rPr>
        <w:t xml:space="preserve"> Operaciones de Fin de Ejercicio//Procesos de cierre//pestaña superior Consultas Resultados de Cierre// botón izquierdo Remanente </w:t>
      </w:r>
      <w:r w:rsidR="00F20F93">
        <w:rPr>
          <w:rFonts w:ascii="Arial" w:hAnsi="Arial" w:cs="Arial"/>
          <w:i/>
          <w:color w:val="0000FF"/>
          <w:sz w:val="18"/>
          <w:szCs w:val="18"/>
        </w:rPr>
        <w:t xml:space="preserve">Líquido de </w:t>
      </w:r>
      <w:r>
        <w:rPr>
          <w:rFonts w:ascii="Arial" w:hAnsi="Arial" w:cs="Arial"/>
          <w:i/>
          <w:color w:val="0000FF"/>
          <w:sz w:val="18"/>
          <w:szCs w:val="18"/>
        </w:rPr>
        <w:t>Tesorería)</w:t>
      </w:r>
    </w:p>
    <w:p w:rsidR="002417A5" w:rsidRDefault="002417A5" w:rsidP="008C0F21">
      <w:pPr>
        <w:widowControl w:val="0"/>
        <w:autoSpaceDE w:val="0"/>
        <w:autoSpaceDN w:val="0"/>
        <w:adjustRightInd w:val="0"/>
        <w:spacing w:line="240" w:lineRule="atLeast"/>
        <w:jc w:val="center"/>
        <w:rPr>
          <w:rFonts w:ascii="Arial" w:hAnsi="Arial"/>
          <w:b/>
          <w:u w:val="single"/>
        </w:rPr>
      </w:pPr>
    </w:p>
    <w:tbl>
      <w:tblPr>
        <w:tblW w:w="10633" w:type="dxa"/>
        <w:jc w:val="center"/>
        <w:tblLook w:val="01E0" w:firstRow="1" w:lastRow="1" w:firstColumn="1" w:lastColumn="1" w:noHBand="0" w:noVBand="0"/>
      </w:tblPr>
      <w:tblGrid>
        <w:gridCol w:w="5161"/>
        <w:gridCol w:w="1368"/>
        <w:gridCol w:w="1368"/>
        <w:gridCol w:w="1368"/>
        <w:gridCol w:w="1368"/>
      </w:tblGrid>
      <w:tr w:rsidR="00965A3B" w:rsidRPr="004B02FE" w:rsidTr="005C0105">
        <w:trPr>
          <w:jc w:val="center"/>
        </w:trPr>
        <w:tc>
          <w:tcPr>
            <w:tcW w:w="5161" w:type="dxa"/>
            <w:tcBorders>
              <w:top w:val="single" w:sz="4" w:space="0" w:color="auto"/>
              <w:left w:val="single" w:sz="4" w:space="0" w:color="auto"/>
              <w:bottom w:val="single" w:sz="4" w:space="0" w:color="auto"/>
              <w:right w:val="single" w:sz="4" w:space="0" w:color="auto"/>
            </w:tcBorders>
            <w:shd w:val="clear" w:color="auto" w:fill="FFFFFF"/>
          </w:tcPr>
          <w:p w:rsidR="00965A3B" w:rsidRPr="005C0105" w:rsidRDefault="00965A3B" w:rsidP="000C6879">
            <w:pPr>
              <w:widowControl w:val="0"/>
              <w:autoSpaceDE w:val="0"/>
              <w:autoSpaceDN w:val="0"/>
              <w:adjustRightInd w:val="0"/>
              <w:spacing w:before="120" w:line="240" w:lineRule="atLeast"/>
              <w:jc w:val="center"/>
              <w:rPr>
                <w:rFonts w:ascii="Arial" w:hAnsi="Arial" w:cs="Arial"/>
                <w:b/>
                <w:sz w:val="18"/>
                <w:szCs w:val="18"/>
              </w:rPr>
            </w:pPr>
            <w:r w:rsidRPr="005C0105">
              <w:rPr>
                <w:rFonts w:ascii="Arial" w:hAnsi="Arial" w:cs="Arial"/>
                <w:b/>
                <w:sz w:val="18"/>
                <w:szCs w:val="18"/>
              </w:rPr>
              <w:t>COMPONENTES</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cPr>
          <w:p w:rsidR="00965A3B" w:rsidRPr="005C0105" w:rsidRDefault="00965A3B" w:rsidP="00EC5737">
            <w:pPr>
              <w:widowControl w:val="0"/>
              <w:autoSpaceDE w:val="0"/>
              <w:autoSpaceDN w:val="0"/>
              <w:adjustRightInd w:val="0"/>
              <w:spacing w:line="240" w:lineRule="atLeast"/>
              <w:jc w:val="center"/>
              <w:rPr>
                <w:rFonts w:ascii="Arial" w:hAnsi="Arial" w:cs="Arial"/>
                <w:b/>
                <w:sz w:val="18"/>
                <w:szCs w:val="18"/>
              </w:rPr>
            </w:pPr>
            <w:r w:rsidRPr="005C0105">
              <w:rPr>
                <w:rFonts w:ascii="Arial" w:hAnsi="Arial" w:cs="Arial"/>
                <w:b/>
                <w:sz w:val="18"/>
                <w:szCs w:val="18"/>
              </w:rPr>
              <w:t>IMPORTES</w:t>
            </w:r>
          </w:p>
          <w:p w:rsidR="00965A3B" w:rsidRPr="005C0105" w:rsidRDefault="00965A3B" w:rsidP="000C6879">
            <w:pPr>
              <w:widowControl w:val="0"/>
              <w:autoSpaceDE w:val="0"/>
              <w:autoSpaceDN w:val="0"/>
              <w:adjustRightInd w:val="0"/>
              <w:spacing w:after="60" w:line="240" w:lineRule="atLeast"/>
              <w:jc w:val="center"/>
              <w:rPr>
                <w:rFonts w:ascii="Arial" w:hAnsi="Arial" w:cs="Arial"/>
                <w:b/>
                <w:sz w:val="18"/>
                <w:szCs w:val="18"/>
              </w:rPr>
            </w:pPr>
            <w:r w:rsidRPr="005C0105">
              <w:rPr>
                <w:rFonts w:ascii="Arial" w:hAnsi="Arial" w:cs="Arial"/>
                <w:b/>
                <w:sz w:val="18"/>
                <w:szCs w:val="18"/>
              </w:rPr>
              <w:t>AÑO</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cPr>
          <w:p w:rsidR="00965A3B" w:rsidRPr="005C0105" w:rsidRDefault="00965A3B" w:rsidP="00EC5737">
            <w:pPr>
              <w:widowControl w:val="0"/>
              <w:autoSpaceDE w:val="0"/>
              <w:autoSpaceDN w:val="0"/>
              <w:adjustRightInd w:val="0"/>
              <w:spacing w:line="240" w:lineRule="atLeast"/>
              <w:jc w:val="center"/>
              <w:rPr>
                <w:rFonts w:ascii="Arial" w:hAnsi="Arial" w:cs="Arial"/>
                <w:b/>
                <w:sz w:val="18"/>
                <w:szCs w:val="18"/>
              </w:rPr>
            </w:pPr>
            <w:r w:rsidRPr="005C0105">
              <w:rPr>
                <w:rFonts w:ascii="Arial" w:hAnsi="Arial" w:cs="Arial"/>
                <w:b/>
                <w:sz w:val="18"/>
                <w:szCs w:val="18"/>
              </w:rPr>
              <w:t xml:space="preserve">IMPORTES </w:t>
            </w:r>
          </w:p>
          <w:p w:rsidR="00965A3B" w:rsidRPr="005C0105" w:rsidRDefault="00965A3B" w:rsidP="00EC5737">
            <w:pPr>
              <w:widowControl w:val="0"/>
              <w:autoSpaceDE w:val="0"/>
              <w:autoSpaceDN w:val="0"/>
              <w:adjustRightInd w:val="0"/>
              <w:spacing w:line="240" w:lineRule="atLeast"/>
              <w:jc w:val="center"/>
              <w:rPr>
                <w:rFonts w:ascii="Arial" w:hAnsi="Arial" w:cs="Arial"/>
                <w:b/>
                <w:sz w:val="18"/>
                <w:szCs w:val="18"/>
              </w:rPr>
            </w:pPr>
            <w:r w:rsidRPr="005C0105">
              <w:rPr>
                <w:rFonts w:ascii="Arial" w:hAnsi="Arial" w:cs="Arial"/>
                <w:b/>
                <w:sz w:val="18"/>
                <w:szCs w:val="18"/>
              </w:rPr>
              <w:t>AÑO ANTERIOR</w:t>
            </w:r>
          </w:p>
        </w:tc>
      </w:tr>
      <w:tr w:rsidR="00965A3B" w:rsidRPr="004B02FE" w:rsidTr="00BB60D2">
        <w:trPr>
          <w:trHeight w:val="321"/>
          <w:jc w:val="center"/>
        </w:trPr>
        <w:tc>
          <w:tcPr>
            <w:tcW w:w="5161" w:type="dxa"/>
            <w:tcBorders>
              <w:top w:val="single" w:sz="4" w:space="0" w:color="auto"/>
              <w:left w:val="single" w:sz="4" w:space="0" w:color="auto"/>
              <w:right w:val="single" w:sz="4" w:space="0" w:color="auto"/>
            </w:tcBorders>
            <w:shd w:val="clear" w:color="auto" w:fill="auto"/>
          </w:tcPr>
          <w:p w:rsidR="00965A3B" w:rsidRPr="004B02FE" w:rsidRDefault="00965A3B" w:rsidP="00EC5737">
            <w:pPr>
              <w:widowControl w:val="0"/>
              <w:tabs>
                <w:tab w:val="left" w:pos="6075"/>
              </w:tabs>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1. Fondos líquidos</w:t>
            </w:r>
          </w:p>
        </w:tc>
        <w:tc>
          <w:tcPr>
            <w:tcW w:w="1368" w:type="dxa"/>
            <w:tcBorders>
              <w:top w:val="single" w:sz="4" w:space="0" w:color="auto"/>
              <w:left w:val="single" w:sz="4" w:space="0" w:color="auto"/>
              <w:right w:val="single" w:sz="4" w:space="0" w:color="auto"/>
            </w:tcBorders>
            <w:shd w:val="clear" w:color="auto" w:fill="FFFFFF"/>
          </w:tcPr>
          <w:p w:rsidR="00965A3B" w:rsidRPr="004B02FE" w:rsidRDefault="00965A3B" w:rsidP="00EC5737">
            <w:pPr>
              <w:widowControl w:val="0"/>
              <w:tabs>
                <w:tab w:val="left" w:pos="6075"/>
              </w:tabs>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right w:val="single" w:sz="4" w:space="0" w:color="auto"/>
            </w:tcBorders>
            <w:shd w:val="clear" w:color="auto" w:fill="FFFFFF"/>
          </w:tcPr>
          <w:p w:rsidR="00965A3B" w:rsidRPr="004B02FE" w:rsidRDefault="00965A3B" w:rsidP="00EC5737">
            <w:pPr>
              <w:widowControl w:val="0"/>
              <w:tabs>
                <w:tab w:val="left" w:pos="6075"/>
              </w:tabs>
              <w:autoSpaceDE w:val="0"/>
              <w:autoSpaceDN w:val="0"/>
              <w:adjustRightInd w:val="0"/>
              <w:spacing w:line="240" w:lineRule="atLeast"/>
              <w:jc w:val="both"/>
              <w:rPr>
                <w:rFonts w:ascii="Arial" w:hAnsi="Arial" w:cs="Arial"/>
                <w:sz w:val="18"/>
                <w:szCs w:val="18"/>
              </w:rPr>
            </w:pPr>
          </w:p>
        </w:tc>
        <w:tc>
          <w:tcPr>
            <w:tcW w:w="1368" w:type="dxa"/>
            <w:tcBorders>
              <w:top w:val="single" w:sz="4" w:space="0" w:color="auto"/>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trHeight w:val="283"/>
          <w:jc w:val="center"/>
        </w:trPr>
        <w:tc>
          <w:tcPr>
            <w:tcW w:w="5161" w:type="dxa"/>
            <w:tcBorders>
              <w:left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2. Derechos pendientes de cobro</w:t>
            </w: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b/>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b/>
                <w:sz w:val="18"/>
                <w:szCs w:val="18"/>
              </w:rPr>
            </w:pPr>
          </w:p>
        </w:tc>
      </w:tr>
      <w:tr w:rsidR="00965A3B" w:rsidRPr="004B02FE" w:rsidTr="00BB60D2">
        <w:trPr>
          <w:jc w:val="center"/>
        </w:trPr>
        <w:tc>
          <w:tcPr>
            <w:tcW w:w="5161" w:type="dxa"/>
            <w:tcBorders>
              <w:left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xml:space="preserve"> (+) del Presupuesto corriente</w:t>
            </w: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left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xml:space="preserve"> (+) de Presupuestos cerrados</w:t>
            </w: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left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xml:space="preserve"> (+) de Operaciones no presupuestarias</w:t>
            </w: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left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lastRenderedPageBreak/>
              <w:t>3 Obligaciones pendientes de pago</w:t>
            </w: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left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)del Presupuesto corriente</w:t>
            </w: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left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de Presupuestos cerrados</w:t>
            </w: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left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de Operaciones no presupuestarias</w:t>
            </w: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left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4. Partidas pendientes de aplicación</w:t>
            </w: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center"/>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center"/>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left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cobros realizados pendientes de aplicación definitiva</w:t>
            </w: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vMerge w:val="restart"/>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left w:val="single" w:sz="4" w:space="0" w:color="auto"/>
              <w:bottom w:val="single" w:sz="4" w:space="0" w:color="auto"/>
              <w:righ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pagos realizados pendientes de aplicación definitiva</w:t>
            </w:r>
          </w:p>
        </w:tc>
        <w:tc>
          <w:tcPr>
            <w:tcW w:w="1368" w:type="dxa"/>
            <w:tcBorders>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vMerge/>
            <w:tcBorders>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top w:val="single" w:sz="4" w:space="0" w:color="auto"/>
              <w:left w:val="single" w:sz="4" w:space="0" w:color="auto"/>
              <w:bottom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I. Remanente de tesorería total (1+2-3+4)</w:t>
            </w:r>
          </w:p>
        </w:tc>
        <w:tc>
          <w:tcPr>
            <w:tcW w:w="1368" w:type="dxa"/>
            <w:tcBorders>
              <w:top w:val="single" w:sz="4" w:space="0" w:color="auto"/>
              <w:left w:val="nil"/>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top w:val="single" w:sz="4" w:space="0" w:color="auto"/>
              <w:left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II. Saldos de dudoso cobro</w:t>
            </w:r>
          </w:p>
        </w:tc>
        <w:tc>
          <w:tcPr>
            <w:tcW w:w="1368" w:type="dxa"/>
            <w:tcBorders>
              <w:top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p>
        </w:tc>
        <w:tc>
          <w:tcPr>
            <w:tcW w:w="1368" w:type="dxa"/>
            <w:tcBorders>
              <w:top w:val="single" w:sz="4" w:space="0" w:color="auto"/>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left w:val="single" w:sz="4" w:space="0" w:color="auto"/>
              <w:bottom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III. Exceso de financiación afectada</w:t>
            </w:r>
          </w:p>
        </w:tc>
        <w:tc>
          <w:tcPr>
            <w:tcW w:w="1368" w:type="dxa"/>
            <w:tcBorders>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r w:rsidR="00965A3B" w:rsidRPr="004B02FE" w:rsidTr="00BB60D2">
        <w:trPr>
          <w:jc w:val="center"/>
        </w:trPr>
        <w:tc>
          <w:tcPr>
            <w:tcW w:w="5161" w:type="dxa"/>
            <w:tcBorders>
              <w:top w:val="single" w:sz="4" w:space="0" w:color="auto"/>
              <w:left w:val="single" w:sz="4" w:space="0" w:color="auto"/>
              <w:bottom w:val="single" w:sz="4" w:space="0" w:color="auto"/>
            </w:tcBorders>
            <w:shd w:val="clear" w:color="auto" w:fill="auto"/>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IV .Remanente de tesorería para gastos generales (I-II-III)</w:t>
            </w:r>
          </w:p>
        </w:tc>
        <w:tc>
          <w:tcPr>
            <w:tcW w:w="1368" w:type="dxa"/>
            <w:tcBorders>
              <w:top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both"/>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965A3B" w:rsidRPr="004B02FE" w:rsidRDefault="00965A3B" w:rsidP="00EC5737">
            <w:pPr>
              <w:widowControl w:val="0"/>
              <w:autoSpaceDE w:val="0"/>
              <w:autoSpaceDN w:val="0"/>
              <w:adjustRightInd w:val="0"/>
              <w:spacing w:line="240" w:lineRule="atLeast"/>
              <w:jc w:val="right"/>
              <w:rPr>
                <w:rFonts w:ascii="Arial" w:hAnsi="Arial" w:cs="Arial"/>
                <w:sz w:val="18"/>
                <w:szCs w:val="18"/>
              </w:rPr>
            </w:pPr>
          </w:p>
        </w:tc>
      </w:tr>
    </w:tbl>
    <w:p w:rsidR="0075791B" w:rsidRDefault="0075791B" w:rsidP="00BC504E">
      <w:pPr>
        <w:pStyle w:val="NormalWeb"/>
        <w:shd w:val="clear" w:color="auto" w:fill="FFFFFF"/>
        <w:spacing w:before="0" w:beforeAutospacing="0" w:after="120" w:afterAutospacing="0"/>
        <w:jc w:val="both"/>
        <w:rPr>
          <w:rFonts w:ascii="Arial" w:hAnsi="Arial" w:cs="Arial"/>
          <w:sz w:val="22"/>
          <w:szCs w:val="22"/>
          <w:shd w:val="clear" w:color="auto" w:fill="FFFFFF"/>
        </w:rPr>
      </w:pPr>
    </w:p>
    <w:p w:rsidR="00B736E0" w:rsidRPr="001F0734" w:rsidRDefault="00D21EE2" w:rsidP="00BC504E">
      <w:pPr>
        <w:pStyle w:val="NormalWeb"/>
        <w:shd w:val="clear" w:color="auto" w:fill="FFFFFF"/>
        <w:spacing w:before="0" w:beforeAutospacing="0" w:after="120" w:afterAutospacing="0"/>
        <w:jc w:val="both"/>
        <w:rPr>
          <w:rFonts w:ascii="Arial" w:hAnsi="Arial" w:cs="Arial"/>
          <w:sz w:val="22"/>
          <w:szCs w:val="22"/>
          <w:shd w:val="clear" w:color="auto" w:fill="FFFFFF"/>
        </w:rPr>
      </w:pPr>
      <w:r w:rsidRPr="001F0734">
        <w:rPr>
          <w:rFonts w:ascii="Arial" w:hAnsi="Arial" w:cs="Arial"/>
          <w:sz w:val="22"/>
          <w:szCs w:val="22"/>
          <w:shd w:val="clear" w:color="auto" w:fill="FFFFFF"/>
        </w:rPr>
        <w:t>D</w:t>
      </w:r>
      <w:r w:rsidR="008872C2" w:rsidRPr="001F0734">
        <w:rPr>
          <w:rFonts w:ascii="Arial" w:hAnsi="Arial" w:cs="Arial"/>
          <w:sz w:val="22"/>
          <w:szCs w:val="22"/>
          <w:shd w:val="clear" w:color="auto" w:fill="FFFFFF"/>
        </w:rPr>
        <w:t xml:space="preserve">udoso cobro </w:t>
      </w:r>
      <w:r w:rsidRPr="001F0734">
        <w:rPr>
          <w:rFonts w:ascii="Arial" w:hAnsi="Arial" w:cs="Arial"/>
          <w:sz w:val="22"/>
          <w:szCs w:val="22"/>
          <w:shd w:val="clear" w:color="auto" w:fill="FFFFFF"/>
        </w:rPr>
        <w:t xml:space="preserve">en los </w:t>
      </w:r>
      <w:r w:rsidR="008872C2" w:rsidRPr="001F0734">
        <w:rPr>
          <w:rFonts w:ascii="Arial" w:hAnsi="Arial" w:cs="Arial"/>
          <w:sz w:val="22"/>
          <w:szCs w:val="22"/>
          <w:shd w:val="clear" w:color="auto" w:fill="FFFFFF"/>
        </w:rPr>
        <w:t>deudores pendientes de cobro.</w:t>
      </w:r>
    </w:p>
    <w:p w:rsidR="00410070" w:rsidRPr="001F0734" w:rsidRDefault="00BC504E" w:rsidP="00BC504E">
      <w:pPr>
        <w:pStyle w:val="NormalWeb"/>
        <w:shd w:val="clear" w:color="auto" w:fill="FFFFFF"/>
        <w:spacing w:before="0" w:beforeAutospacing="0" w:after="120" w:afterAutospacing="0"/>
        <w:jc w:val="both"/>
        <w:rPr>
          <w:rFonts w:ascii="Arial" w:hAnsi="Arial" w:cs="Arial"/>
          <w:sz w:val="22"/>
          <w:szCs w:val="22"/>
          <w:shd w:val="clear" w:color="auto" w:fill="FFFFFF"/>
        </w:rPr>
      </w:pPr>
      <w:r w:rsidRPr="001F0734">
        <w:rPr>
          <w:rFonts w:ascii="Arial" w:hAnsi="Arial" w:cs="Arial"/>
          <w:sz w:val="22"/>
          <w:szCs w:val="22"/>
          <w:shd w:val="clear" w:color="auto" w:fill="FFFFFF"/>
        </w:rPr>
        <w:tab/>
      </w:r>
      <w:r w:rsidR="00410070" w:rsidRPr="001F0734">
        <w:rPr>
          <w:rFonts w:ascii="Arial" w:hAnsi="Arial" w:cs="Arial"/>
          <w:sz w:val="22"/>
          <w:szCs w:val="22"/>
          <w:shd w:val="clear" w:color="auto" w:fill="FFFFFF"/>
        </w:rPr>
        <w:t>El art. 191.2 TRLRHL, el 103 RD 500/</w:t>
      </w:r>
      <w:r w:rsidR="00AC488A">
        <w:rPr>
          <w:rFonts w:ascii="Arial" w:hAnsi="Arial" w:cs="Arial"/>
          <w:sz w:val="22"/>
          <w:szCs w:val="22"/>
          <w:shd w:val="clear" w:color="auto" w:fill="FFFFFF"/>
        </w:rPr>
        <w:t>19</w:t>
      </w:r>
      <w:r w:rsidR="00410070" w:rsidRPr="001F0734">
        <w:rPr>
          <w:rFonts w:ascii="Arial" w:hAnsi="Arial" w:cs="Arial"/>
          <w:sz w:val="22"/>
          <w:szCs w:val="22"/>
          <w:shd w:val="clear" w:color="auto" w:fill="FFFFFF"/>
        </w:rPr>
        <w:t>90</w:t>
      </w:r>
      <w:r w:rsidR="001F0734">
        <w:rPr>
          <w:rFonts w:ascii="Arial" w:hAnsi="Arial" w:cs="Arial"/>
          <w:sz w:val="22"/>
          <w:szCs w:val="22"/>
          <w:shd w:val="clear" w:color="auto" w:fill="FFFFFF"/>
        </w:rPr>
        <w:t xml:space="preserve">, así como la parte tercera de la ICMN (Cuentas Anuales, punto 24.6 de la Memoria) </w:t>
      </w:r>
      <w:r w:rsidR="00921844">
        <w:rPr>
          <w:rFonts w:ascii="Arial" w:hAnsi="Arial" w:cs="Arial"/>
          <w:sz w:val="22"/>
          <w:szCs w:val="22"/>
          <w:shd w:val="clear" w:color="auto" w:fill="FFFFFF"/>
        </w:rPr>
        <w:t>establecen</w:t>
      </w:r>
      <w:r w:rsidR="005478C3" w:rsidRPr="001F0734">
        <w:rPr>
          <w:rFonts w:ascii="Arial" w:hAnsi="Arial" w:cs="Arial"/>
          <w:sz w:val="22"/>
          <w:szCs w:val="22"/>
          <w:shd w:val="clear" w:color="auto" w:fill="FFFFFF"/>
        </w:rPr>
        <w:t xml:space="preserve"> </w:t>
      </w:r>
      <w:r w:rsidR="00410070" w:rsidRPr="001F0734">
        <w:rPr>
          <w:rFonts w:ascii="Arial" w:hAnsi="Arial" w:cs="Arial"/>
          <w:sz w:val="22"/>
          <w:szCs w:val="22"/>
          <w:shd w:val="clear" w:color="auto" w:fill="FFFFFF"/>
        </w:rPr>
        <w:t>que el Remanente de Tesorería se minorará en la cuantía de aquellos dere</w:t>
      </w:r>
      <w:r w:rsidR="009628EB">
        <w:rPr>
          <w:rFonts w:ascii="Arial" w:hAnsi="Arial" w:cs="Arial"/>
          <w:sz w:val="22"/>
          <w:szCs w:val="22"/>
          <w:shd w:val="clear" w:color="auto" w:fill="FFFFFF"/>
        </w:rPr>
        <w:t xml:space="preserve">chos pendientes de cobro que, a </w:t>
      </w:r>
      <w:r w:rsidR="009628EB" w:rsidRPr="001F0734">
        <w:rPr>
          <w:rFonts w:ascii="Arial" w:hAnsi="Arial" w:cs="Arial"/>
          <w:sz w:val="22"/>
          <w:szCs w:val="22"/>
          <w:shd w:val="clear" w:color="auto" w:fill="FFFFFF"/>
        </w:rPr>
        <w:t>fin</w:t>
      </w:r>
      <w:r w:rsidR="00410070" w:rsidRPr="001F0734">
        <w:rPr>
          <w:rFonts w:ascii="Arial" w:hAnsi="Arial" w:cs="Arial"/>
          <w:sz w:val="22"/>
          <w:szCs w:val="22"/>
          <w:shd w:val="clear" w:color="auto" w:fill="FFFFFF"/>
        </w:rPr>
        <w:t xml:space="preserve"> de ejercicio, se consideren de difícil e imposible recaudación.</w:t>
      </w:r>
    </w:p>
    <w:p w:rsidR="00410070" w:rsidRPr="001F0734" w:rsidRDefault="00BC504E" w:rsidP="00BC504E">
      <w:pPr>
        <w:pStyle w:val="NormalWeb"/>
        <w:shd w:val="clear" w:color="auto" w:fill="FFFFFF"/>
        <w:spacing w:before="0" w:beforeAutospacing="0" w:after="120" w:afterAutospacing="0"/>
        <w:jc w:val="both"/>
        <w:rPr>
          <w:rFonts w:ascii="Arial" w:hAnsi="Arial" w:cs="Arial"/>
          <w:sz w:val="22"/>
          <w:szCs w:val="22"/>
          <w:shd w:val="clear" w:color="auto" w:fill="FFFFFF"/>
        </w:rPr>
      </w:pPr>
      <w:r w:rsidRPr="001F0734">
        <w:rPr>
          <w:rFonts w:ascii="Arial" w:hAnsi="Arial" w:cs="Arial"/>
          <w:sz w:val="22"/>
          <w:szCs w:val="22"/>
          <w:shd w:val="clear" w:color="auto" w:fill="FFFFFF"/>
        </w:rPr>
        <w:tab/>
      </w:r>
      <w:r w:rsidR="00410070" w:rsidRPr="001F0734">
        <w:rPr>
          <w:rFonts w:ascii="Arial" w:hAnsi="Arial" w:cs="Arial"/>
          <w:sz w:val="22"/>
          <w:szCs w:val="22"/>
          <w:shd w:val="clear" w:color="auto" w:fill="FFFFFF"/>
        </w:rPr>
        <w:t xml:space="preserve">El art. 193 bis TRLRHL establece la obligación a cargo de las Entidades Locales de informar al Ministerio de Hacienda y Administraciones Públicas y a su </w:t>
      </w:r>
      <w:r w:rsidR="00E1465B" w:rsidRPr="001F0734">
        <w:rPr>
          <w:rFonts w:ascii="Arial" w:hAnsi="Arial" w:cs="Arial"/>
          <w:sz w:val="22"/>
          <w:szCs w:val="22"/>
          <w:shd w:val="clear" w:color="auto" w:fill="FFFFFF"/>
        </w:rPr>
        <w:t>Pleno,</w:t>
      </w:r>
      <w:r w:rsidR="00410070" w:rsidRPr="001F0734">
        <w:rPr>
          <w:rFonts w:ascii="Arial" w:hAnsi="Arial" w:cs="Arial"/>
          <w:sz w:val="22"/>
          <w:szCs w:val="22"/>
          <w:shd w:val="clear" w:color="auto" w:fill="FFFFFF"/>
        </w:rPr>
        <w:t xml:space="preserve"> u órgano equivalente, del resultado de la aplicación de los criterios determinantes de los derechos de difícil o imposible recaudación y, además, que estos criterios deben responder, como mínimo, a los límites que se recogen en el mismo precepto.</w:t>
      </w:r>
    </w:p>
    <w:p w:rsidR="005478C3" w:rsidRPr="001F0734" w:rsidRDefault="00BC504E" w:rsidP="00BC504E">
      <w:pPr>
        <w:pStyle w:val="NormalWeb"/>
        <w:shd w:val="clear" w:color="auto" w:fill="FFFFFF"/>
        <w:spacing w:before="0" w:beforeAutospacing="0" w:after="120" w:afterAutospacing="0"/>
        <w:jc w:val="both"/>
        <w:rPr>
          <w:rFonts w:ascii="Arial" w:hAnsi="Arial" w:cs="Arial"/>
          <w:sz w:val="22"/>
          <w:szCs w:val="22"/>
          <w:shd w:val="clear" w:color="auto" w:fill="FFFFFF"/>
        </w:rPr>
      </w:pPr>
      <w:r w:rsidRPr="001F0734">
        <w:rPr>
          <w:rFonts w:ascii="Arial" w:hAnsi="Arial" w:cs="Arial"/>
          <w:sz w:val="22"/>
          <w:szCs w:val="22"/>
          <w:shd w:val="clear" w:color="auto" w:fill="FFFFFF"/>
        </w:rPr>
        <w:tab/>
      </w:r>
      <w:r w:rsidR="005478C3" w:rsidRPr="001F0734">
        <w:rPr>
          <w:rFonts w:ascii="Arial" w:hAnsi="Arial" w:cs="Arial"/>
          <w:sz w:val="22"/>
          <w:szCs w:val="22"/>
          <w:shd w:val="clear" w:color="auto" w:fill="FFFFFF"/>
        </w:rPr>
        <w:t xml:space="preserve">Conforme a las </w:t>
      </w:r>
      <w:r w:rsidR="00410070" w:rsidRPr="001F0734">
        <w:rPr>
          <w:rFonts w:ascii="Arial" w:hAnsi="Arial" w:cs="Arial"/>
          <w:sz w:val="22"/>
          <w:szCs w:val="22"/>
          <w:shd w:val="clear" w:color="auto" w:fill="FFFFFF"/>
        </w:rPr>
        <w:t xml:space="preserve">Bases de </w:t>
      </w:r>
      <w:r w:rsidR="005478C3" w:rsidRPr="001F0734">
        <w:rPr>
          <w:rFonts w:ascii="Arial" w:hAnsi="Arial" w:cs="Arial"/>
          <w:sz w:val="22"/>
          <w:szCs w:val="22"/>
          <w:shd w:val="clear" w:color="auto" w:fill="FFFFFF"/>
        </w:rPr>
        <w:t>ejecución</w:t>
      </w:r>
      <w:r w:rsidR="00410070" w:rsidRPr="001F0734">
        <w:rPr>
          <w:rFonts w:ascii="Arial" w:hAnsi="Arial" w:cs="Arial"/>
          <w:sz w:val="22"/>
          <w:szCs w:val="22"/>
          <w:shd w:val="clear" w:color="auto" w:fill="FFFFFF"/>
        </w:rPr>
        <w:t xml:space="preserve"> del</w:t>
      </w:r>
      <w:r w:rsidR="005478C3" w:rsidRPr="001F0734">
        <w:rPr>
          <w:rFonts w:ascii="Arial" w:hAnsi="Arial" w:cs="Arial"/>
          <w:sz w:val="22"/>
          <w:szCs w:val="22"/>
          <w:shd w:val="clear" w:color="auto" w:fill="FFFFFF"/>
        </w:rPr>
        <w:t xml:space="preserve"> </w:t>
      </w:r>
      <w:r w:rsidR="00410070" w:rsidRPr="001F0734">
        <w:rPr>
          <w:rFonts w:ascii="Arial" w:hAnsi="Arial" w:cs="Arial"/>
          <w:sz w:val="22"/>
          <w:szCs w:val="22"/>
          <w:shd w:val="clear" w:color="auto" w:fill="FFFFFF"/>
        </w:rPr>
        <w:t xml:space="preserve">Presupuesto de este </w:t>
      </w:r>
      <w:r w:rsidR="00F52FE0" w:rsidRPr="001F0734">
        <w:rPr>
          <w:rFonts w:ascii="Arial" w:hAnsi="Arial" w:cs="Arial"/>
          <w:sz w:val="22"/>
          <w:szCs w:val="22"/>
          <w:shd w:val="clear" w:color="auto" w:fill="FFFFFF"/>
        </w:rPr>
        <w:t>Ayuntamiento</w:t>
      </w:r>
      <w:r w:rsidR="005478C3" w:rsidRPr="001F0734">
        <w:rPr>
          <w:rFonts w:ascii="Arial" w:hAnsi="Arial" w:cs="Arial"/>
          <w:sz w:val="22"/>
          <w:szCs w:val="22"/>
          <w:shd w:val="clear" w:color="auto" w:fill="FFFFFF"/>
        </w:rPr>
        <w:t xml:space="preserve">, se han aplicado los porcentajes </w:t>
      </w:r>
      <w:r w:rsidR="00F52FE0" w:rsidRPr="001F0734">
        <w:rPr>
          <w:rFonts w:ascii="Arial" w:hAnsi="Arial" w:cs="Arial"/>
          <w:sz w:val="22"/>
          <w:szCs w:val="22"/>
          <w:shd w:val="clear" w:color="auto" w:fill="FFFFFF"/>
        </w:rPr>
        <w:t>mínimos</w:t>
      </w:r>
      <w:r w:rsidR="005478C3" w:rsidRPr="001F0734">
        <w:rPr>
          <w:rFonts w:ascii="Arial" w:hAnsi="Arial" w:cs="Arial"/>
          <w:sz w:val="22"/>
          <w:szCs w:val="22"/>
          <w:shd w:val="clear" w:color="auto" w:fill="FFFFFF"/>
        </w:rPr>
        <w:t xml:space="preserve"> del art 193 bis TRLRHL, que se concretan en:</w:t>
      </w:r>
    </w:p>
    <w:p w:rsidR="005478C3" w:rsidRPr="001F0734" w:rsidRDefault="005478C3" w:rsidP="007452D0">
      <w:pPr>
        <w:pStyle w:val="NormalWeb"/>
        <w:numPr>
          <w:ilvl w:val="0"/>
          <w:numId w:val="22"/>
        </w:numPr>
        <w:shd w:val="clear" w:color="auto" w:fill="FFFFFF"/>
        <w:spacing w:before="0" w:beforeAutospacing="0" w:after="60" w:afterAutospacing="0"/>
        <w:ind w:left="993" w:hanging="284"/>
        <w:jc w:val="both"/>
        <w:rPr>
          <w:rFonts w:ascii="Arial" w:hAnsi="Arial" w:cs="Arial"/>
          <w:sz w:val="22"/>
          <w:szCs w:val="22"/>
          <w:shd w:val="clear" w:color="auto" w:fill="FFFFFF"/>
        </w:rPr>
      </w:pPr>
      <w:r w:rsidRPr="001F0734">
        <w:rPr>
          <w:rFonts w:ascii="Arial" w:hAnsi="Arial" w:cs="Arial"/>
          <w:sz w:val="22"/>
          <w:szCs w:val="22"/>
          <w:shd w:val="clear" w:color="auto" w:fill="FFFFFF"/>
        </w:rPr>
        <w:t xml:space="preserve">25% de los derechos pendientes de cobro liquidados dentro de los presupuestos de los dos ejercicios anteriores al que corresponde la liquidación. </w:t>
      </w:r>
    </w:p>
    <w:p w:rsidR="005478C3" w:rsidRPr="001F0734" w:rsidRDefault="005478C3" w:rsidP="007452D0">
      <w:pPr>
        <w:pStyle w:val="NormalWeb"/>
        <w:numPr>
          <w:ilvl w:val="0"/>
          <w:numId w:val="22"/>
        </w:numPr>
        <w:shd w:val="clear" w:color="auto" w:fill="FFFFFF"/>
        <w:spacing w:before="0" w:beforeAutospacing="0" w:after="60" w:afterAutospacing="0"/>
        <w:ind w:left="993" w:hanging="284"/>
        <w:jc w:val="both"/>
        <w:rPr>
          <w:rFonts w:ascii="Arial" w:hAnsi="Arial" w:cs="Arial"/>
          <w:sz w:val="22"/>
          <w:szCs w:val="22"/>
          <w:shd w:val="clear" w:color="auto" w:fill="FFFFFF"/>
        </w:rPr>
      </w:pPr>
      <w:r w:rsidRPr="001F0734">
        <w:rPr>
          <w:rFonts w:ascii="Arial" w:hAnsi="Arial" w:cs="Arial"/>
          <w:sz w:val="22"/>
          <w:szCs w:val="22"/>
          <w:shd w:val="clear" w:color="auto" w:fill="FFFFFF"/>
        </w:rPr>
        <w:t xml:space="preserve">50% de los derechos pendientes de cobro liquidados dentro de los presupuestos del ejercicio tercero anterior al que corresponde la liquidación. </w:t>
      </w:r>
    </w:p>
    <w:p w:rsidR="005478C3" w:rsidRPr="001F0734" w:rsidRDefault="005478C3" w:rsidP="007452D0">
      <w:pPr>
        <w:pStyle w:val="NormalWeb"/>
        <w:numPr>
          <w:ilvl w:val="0"/>
          <w:numId w:val="22"/>
        </w:numPr>
        <w:shd w:val="clear" w:color="auto" w:fill="FFFFFF"/>
        <w:spacing w:before="0" w:beforeAutospacing="0" w:after="60" w:afterAutospacing="0"/>
        <w:ind w:left="993" w:hanging="284"/>
        <w:jc w:val="both"/>
        <w:rPr>
          <w:rFonts w:ascii="Arial" w:hAnsi="Arial" w:cs="Arial"/>
          <w:sz w:val="22"/>
          <w:szCs w:val="22"/>
          <w:shd w:val="clear" w:color="auto" w:fill="FFFFFF"/>
        </w:rPr>
      </w:pPr>
      <w:r w:rsidRPr="001F0734">
        <w:rPr>
          <w:rFonts w:ascii="Arial" w:hAnsi="Arial" w:cs="Arial"/>
          <w:sz w:val="22"/>
          <w:szCs w:val="22"/>
          <w:shd w:val="clear" w:color="auto" w:fill="FFFFFF"/>
        </w:rPr>
        <w:t xml:space="preserve">75 % de los derechos pendientes de cobro liquidados dentro de los presupuestos de los ejercicios cuarto a quinto anteriores al que corresponde la liquidación. </w:t>
      </w:r>
    </w:p>
    <w:p w:rsidR="005478C3" w:rsidRPr="001F0734" w:rsidRDefault="005478C3" w:rsidP="00AC488A">
      <w:pPr>
        <w:pStyle w:val="NormalWeb"/>
        <w:numPr>
          <w:ilvl w:val="0"/>
          <w:numId w:val="22"/>
        </w:numPr>
        <w:shd w:val="clear" w:color="auto" w:fill="FFFFFF"/>
        <w:spacing w:before="0" w:beforeAutospacing="0" w:after="120" w:afterAutospacing="0"/>
        <w:ind w:left="993" w:hanging="284"/>
        <w:jc w:val="both"/>
        <w:rPr>
          <w:rFonts w:ascii="Arial" w:hAnsi="Arial" w:cs="Arial"/>
          <w:sz w:val="22"/>
          <w:szCs w:val="22"/>
          <w:shd w:val="clear" w:color="auto" w:fill="FFFFFF"/>
        </w:rPr>
      </w:pPr>
      <w:r w:rsidRPr="001F0734">
        <w:rPr>
          <w:rFonts w:ascii="Arial" w:hAnsi="Arial" w:cs="Arial"/>
          <w:sz w:val="22"/>
          <w:szCs w:val="22"/>
          <w:shd w:val="clear" w:color="auto" w:fill="FFFFFF"/>
        </w:rPr>
        <w:t>100% de los derechos pendientes de cobro liquidados dentro de los presupuestos de los restantes ejercicios anteriores al que corresponde la liquidación</w:t>
      </w:r>
    </w:p>
    <w:p w:rsidR="00E57EDF" w:rsidRPr="001F0734" w:rsidRDefault="00BC504E" w:rsidP="00BC504E">
      <w:pPr>
        <w:pStyle w:val="NormalWeb"/>
        <w:shd w:val="clear" w:color="auto" w:fill="FFFFFF"/>
        <w:spacing w:before="0" w:beforeAutospacing="0" w:after="120" w:afterAutospacing="0"/>
        <w:jc w:val="both"/>
        <w:rPr>
          <w:rFonts w:ascii="Arial" w:hAnsi="Arial" w:cs="Arial"/>
          <w:sz w:val="22"/>
          <w:szCs w:val="22"/>
          <w:shd w:val="clear" w:color="auto" w:fill="FFFFFF"/>
        </w:rPr>
      </w:pPr>
      <w:r w:rsidRPr="001F0734">
        <w:rPr>
          <w:rFonts w:ascii="Arial" w:hAnsi="Arial" w:cs="Arial"/>
          <w:sz w:val="22"/>
          <w:szCs w:val="22"/>
          <w:shd w:val="clear" w:color="auto" w:fill="FFFFFF"/>
        </w:rPr>
        <w:tab/>
      </w:r>
      <w:r w:rsidR="00F52FE0" w:rsidRPr="001F0734">
        <w:rPr>
          <w:rFonts w:ascii="Arial" w:hAnsi="Arial" w:cs="Arial"/>
          <w:sz w:val="22"/>
          <w:szCs w:val="22"/>
          <w:shd w:val="clear" w:color="auto" w:fill="FFFFFF"/>
        </w:rPr>
        <w:t>El resultado de la aplicación de los criterios determinantes de los derechos de difícil o imposible recaudación, se cuantifica en</w:t>
      </w:r>
      <w:r w:rsidR="00F52FE0" w:rsidRPr="001F0734">
        <w:rPr>
          <w:rFonts w:ascii="Arial" w:hAnsi="Arial" w:cs="Arial"/>
          <w:sz w:val="22"/>
          <w:szCs w:val="22"/>
          <w:u w:val="single" w:color="0000FF"/>
          <w:shd w:val="clear" w:color="auto" w:fill="FFFFFF"/>
        </w:rPr>
        <w:t>______________________</w:t>
      </w:r>
      <w:r w:rsidRPr="001F0734">
        <w:rPr>
          <w:rFonts w:ascii="Arial" w:hAnsi="Arial" w:cs="Arial"/>
          <w:sz w:val="22"/>
          <w:szCs w:val="22"/>
          <w:u w:val="single" w:color="0000FF"/>
          <w:shd w:val="clear" w:color="auto" w:fill="FFFFFF"/>
        </w:rPr>
        <w:t xml:space="preserve"> </w:t>
      </w:r>
      <w:r w:rsidRPr="001F0734">
        <w:rPr>
          <w:rFonts w:ascii="Arial" w:hAnsi="Arial" w:cs="Arial"/>
          <w:sz w:val="22"/>
          <w:szCs w:val="22"/>
          <w:shd w:val="clear" w:color="auto" w:fill="FFFFFF"/>
        </w:rPr>
        <w:t>euros</w:t>
      </w:r>
      <w:r w:rsidR="00F52FE0" w:rsidRPr="001F0734">
        <w:rPr>
          <w:rFonts w:ascii="Arial" w:hAnsi="Arial" w:cs="Arial"/>
          <w:sz w:val="22"/>
          <w:szCs w:val="22"/>
          <w:shd w:val="clear" w:color="auto" w:fill="FFFFFF"/>
        </w:rPr>
        <w:t>, que minora el importe del remanente de tesorería obtenido en el cálculo de la liquidación presupuestaria, como saldo de dudoso cobro, tal y como establece el importe 191 del TRLRHL.</w:t>
      </w:r>
    </w:p>
    <w:p w:rsidR="00C46D45" w:rsidRPr="0075791B" w:rsidRDefault="009628EB" w:rsidP="00E57EDF">
      <w:pPr>
        <w:pStyle w:val="parrafo"/>
        <w:shd w:val="clear" w:color="auto" w:fill="FFFFFF"/>
        <w:spacing w:before="0" w:beforeAutospacing="0" w:after="120" w:afterAutospacing="0"/>
        <w:jc w:val="both"/>
        <w:rPr>
          <w:rFonts w:ascii="Arial" w:hAnsi="Arial" w:cs="Arial"/>
          <w:i/>
          <w:sz w:val="20"/>
          <w:szCs w:val="20"/>
          <w:highlight w:val="lightGray"/>
        </w:rPr>
      </w:pPr>
      <w:r w:rsidRPr="0075791B">
        <w:rPr>
          <w:rFonts w:ascii="Arial" w:hAnsi="Arial" w:cs="Arial"/>
          <w:i/>
          <w:sz w:val="20"/>
          <w:szCs w:val="20"/>
          <w:highlight w:val="lightGray"/>
        </w:rPr>
        <w:t>(De</w:t>
      </w:r>
      <w:r w:rsidR="00E57EDF" w:rsidRPr="0075791B">
        <w:rPr>
          <w:rFonts w:ascii="Arial" w:hAnsi="Arial" w:cs="Arial"/>
          <w:i/>
          <w:sz w:val="20"/>
          <w:szCs w:val="20"/>
          <w:highlight w:val="lightGray"/>
        </w:rPr>
        <w:t xml:space="preserve"> no haber aplicado los porcentajes </w:t>
      </w:r>
      <w:r w:rsidR="00BC504E" w:rsidRPr="0075791B">
        <w:rPr>
          <w:rFonts w:ascii="Arial" w:hAnsi="Arial" w:cs="Arial"/>
          <w:i/>
          <w:sz w:val="20"/>
          <w:szCs w:val="20"/>
          <w:highlight w:val="lightGray"/>
        </w:rPr>
        <w:t xml:space="preserve">mínimos </w:t>
      </w:r>
      <w:r w:rsidR="00E57EDF" w:rsidRPr="0075791B">
        <w:rPr>
          <w:rFonts w:ascii="Arial" w:hAnsi="Arial" w:cs="Arial"/>
          <w:i/>
          <w:sz w:val="20"/>
          <w:szCs w:val="20"/>
          <w:highlight w:val="lightGray"/>
        </w:rPr>
        <w:t xml:space="preserve">del art. 193 bis, </w:t>
      </w:r>
      <w:r w:rsidRPr="0075791B">
        <w:rPr>
          <w:rFonts w:ascii="Arial" w:hAnsi="Arial" w:cs="Arial"/>
          <w:i/>
          <w:sz w:val="20"/>
          <w:szCs w:val="20"/>
          <w:highlight w:val="lightGray"/>
        </w:rPr>
        <w:t>señalar el</w:t>
      </w:r>
      <w:r w:rsidR="00E57EDF" w:rsidRPr="0075791B">
        <w:rPr>
          <w:rFonts w:ascii="Arial" w:hAnsi="Arial" w:cs="Arial"/>
          <w:i/>
          <w:sz w:val="20"/>
          <w:szCs w:val="20"/>
          <w:highlight w:val="lightGray"/>
        </w:rPr>
        <w:t xml:space="preserve"> criterio adoptado en la determinación de los derechos de difícil o imposible recaudación)  </w:t>
      </w:r>
    </w:p>
    <w:p w:rsidR="00BC504E" w:rsidRPr="0075791B" w:rsidRDefault="003D5196" w:rsidP="00E57EDF">
      <w:pPr>
        <w:pStyle w:val="parrafo"/>
        <w:shd w:val="clear" w:color="auto" w:fill="FFFFFF"/>
        <w:spacing w:before="0" w:beforeAutospacing="0" w:after="120" w:afterAutospacing="0"/>
        <w:jc w:val="both"/>
        <w:rPr>
          <w:rFonts w:ascii="Arial" w:hAnsi="Arial" w:cs="Arial"/>
          <w:i/>
          <w:sz w:val="20"/>
          <w:szCs w:val="20"/>
        </w:rPr>
      </w:pPr>
      <w:r>
        <w:rPr>
          <w:rFonts w:ascii="Arial" w:hAnsi="Arial" w:cs="Arial"/>
          <w:i/>
          <w:sz w:val="20"/>
          <w:szCs w:val="20"/>
          <w:highlight w:val="lightGray"/>
        </w:rPr>
        <w:t>(Al MINHAFP</w:t>
      </w:r>
      <w:r w:rsidR="00251B48">
        <w:rPr>
          <w:rFonts w:ascii="Arial" w:hAnsi="Arial" w:cs="Arial"/>
          <w:i/>
          <w:sz w:val="20"/>
          <w:szCs w:val="20"/>
          <w:highlight w:val="lightGray"/>
        </w:rPr>
        <w:t xml:space="preserve"> </w:t>
      </w:r>
      <w:r w:rsidR="00BC504E" w:rsidRPr="0075791B">
        <w:rPr>
          <w:rFonts w:ascii="Arial" w:hAnsi="Arial" w:cs="Arial"/>
          <w:i/>
          <w:sz w:val="20"/>
          <w:szCs w:val="20"/>
          <w:highlight w:val="lightGray"/>
        </w:rPr>
        <w:t>se informará al remitir la Liquidación del presupuesto, en el formulario F.1.1.8 Remanente de Tesorería)</w:t>
      </w:r>
    </w:p>
    <w:p w:rsidR="00BC504E" w:rsidRPr="00BC504E" w:rsidRDefault="00BC504E" w:rsidP="00E57EDF">
      <w:pPr>
        <w:pStyle w:val="parrafo"/>
        <w:shd w:val="clear" w:color="auto" w:fill="FFFFFF"/>
        <w:spacing w:before="0" w:beforeAutospacing="0" w:after="120" w:afterAutospacing="0"/>
        <w:jc w:val="both"/>
        <w:rPr>
          <w:i/>
        </w:rPr>
      </w:pPr>
    </w:p>
    <w:p w:rsidR="00354999" w:rsidRPr="00FD217F" w:rsidRDefault="00BD30BD" w:rsidP="00FD217F">
      <w:pPr>
        <w:widowControl w:val="0"/>
        <w:autoSpaceDE w:val="0"/>
        <w:autoSpaceDN w:val="0"/>
        <w:adjustRightInd w:val="0"/>
        <w:spacing w:after="120"/>
        <w:jc w:val="both"/>
        <w:rPr>
          <w:rFonts w:ascii="Arial" w:hAnsi="Arial" w:cs="Arial"/>
          <w:sz w:val="22"/>
          <w:szCs w:val="22"/>
        </w:rPr>
      </w:pPr>
      <w:r w:rsidRPr="00EF52EA">
        <w:rPr>
          <w:rFonts w:ascii="Arial" w:hAnsi="Arial" w:cs="Arial"/>
          <w:i/>
          <w:sz w:val="22"/>
          <w:szCs w:val="22"/>
        </w:rPr>
        <w:tab/>
      </w:r>
      <w:r w:rsidRPr="00EF52EA">
        <w:rPr>
          <w:rFonts w:ascii="Arial" w:eastAsia="Calibri" w:hAnsi="Arial" w:cs="Arial"/>
          <w:i/>
          <w:sz w:val="22"/>
          <w:szCs w:val="22"/>
          <w:highlight w:val="lightGray"/>
        </w:rPr>
        <w:t>En caso de Remanente de Tesorería Negativo</w:t>
      </w:r>
      <w:r w:rsidRPr="00EF52EA">
        <w:rPr>
          <w:rFonts w:ascii="Arial" w:eastAsia="Calibri" w:hAnsi="Arial" w:cs="Arial"/>
          <w:sz w:val="22"/>
          <w:szCs w:val="22"/>
        </w:rPr>
        <w:t xml:space="preserve">: </w:t>
      </w:r>
      <w:r w:rsidR="00E33667" w:rsidRPr="00EF52EA">
        <w:rPr>
          <w:rFonts w:ascii="Arial" w:eastAsia="Calibri" w:hAnsi="Arial" w:cs="Arial"/>
          <w:sz w:val="22"/>
          <w:szCs w:val="22"/>
        </w:rPr>
        <w:t xml:space="preserve"> </w:t>
      </w:r>
      <w:r w:rsidR="001A3E67" w:rsidRPr="00354999">
        <w:rPr>
          <w:rFonts w:ascii="Arial" w:hAnsi="Arial" w:cs="Arial"/>
          <w:sz w:val="22"/>
          <w:szCs w:val="22"/>
        </w:rPr>
        <w:t xml:space="preserve">Como consecuencia del resultado negativo del Remanente de Tesorería, </w:t>
      </w:r>
      <w:r w:rsidR="00354999" w:rsidRPr="00354999">
        <w:rPr>
          <w:rFonts w:ascii="Arial" w:hAnsi="Arial" w:cs="Arial"/>
          <w:sz w:val="22"/>
          <w:szCs w:val="22"/>
        </w:rPr>
        <w:t xml:space="preserve">por importe de </w:t>
      </w:r>
      <w:r w:rsidR="00354999" w:rsidRPr="0075791B">
        <w:rPr>
          <w:rFonts w:ascii="Arial" w:hAnsi="Arial" w:cs="Arial"/>
          <w:sz w:val="22"/>
          <w:szCs w:val="22"/>
          <w:u w:val="single" w:color="0000FF"/>
        </w:rPr>
        <w:t>_______________,</w:t>
      </w:r>
      <w:r w:rsidR="00354999" w:rsidRPr="0075791B">
        <w:rPr>
          <w:u w:val="single"/>
        </w:rPr>
        <w:t xml:space="preserve"> </w:t>
      </w:r>
      <w:r w:rsidR="00354999" w:rsidRPr="00354999">
        <w:rPr>
          <w:rFonts w:ascii="Arial" w:hAnsi="Arial" w:cs="Arial"/>
          <w:sz w:val="22"/>
          <w:szCs w:val="22"/>
        </w:rPr>
        <w:t>el</w:t>
      </w:r>
      <w:r w:rsidR="00354999" w:rsidRPr="00F04871">
        <w:rPr>
          <w:rFonts w:ascii="Arial" w:hAnsi="Arial" w:cs="Arial"/>
          <w:sz w:val="22"/>
          <w:szCs w:val="22"/>
        </w:rPr>
        <w:t xml:space="preserve"> Ple</w:t>
      </w:r>
      <w:r w:rsidR="00354999" w:rsidRPr="00B736E0">
        <w:rPr>
          <w:rFonts w:ascii="Arial" w:hAnsi="Arial" w:cs="Arial"/>
          <w:sz w:val="22"/>
          <w:szCs w:val="22"/>
        </w:rPr>
        <w:t xml:space="preserve">no de la corporación, deberá proceder, en la primera sesión que celebre, a adoptar </w:t>
      </w:r>
      <w:r w:rsidR="00354999" w:rsidRPr="00B736E0">
        <w:rPr>
          <w:rFonts w:ascii="Arial" w:eastAsia="Calibri" w:hAnsi="Arial" w:cs="Arial"/>
          <w:sz w:val="22"/>
          <w:szCs w:val="22"/>
        </w:rPr>
        <w:t xml:space="preserve">alguna de las </w:t>
      </w:r>
      <w:r w:rsidR="00354999" w:rsidRPr="00B736E0">
        <w:rPr>
          <w:rFonts w:ascii="Arial" w:eastAsia="Calibri" w:hAnsi="Arial" w:cs="Arial"/>
          <w:sz w:val="22"/>
          <w:szCs w:val="22"/>
        </w:rPr>
        <w:lastRenderedPageBreak/>
        <w:t>medidas que se contemplan en el artículo 193</w:t>
      </w:r>
      <w:r w:rsidR="00354999" w:rsidRPr="00B736E0">
        <w:rPr>
          <w:rFonts w:ascii="Arial" w:hAnsi="Arial" w:cs="Arial"/>
          <w:sz w:val="22"/>
          <w:szCs w:val="22"/>
        </w:rPr>
        <w:t xml:space="preserve"> </w:t>
      </w:r>
      <w:r w:rsidR="007452D0">
        <w:rPr>
          <w:rFonts w:ascii="Arial" w:hAnsi="Arial" w:cs="Arial"/>
          <w:sz w:val="22"/>
          <w:szCs w:val="22"/>
        </w:rPr>
        <w:t>TRLRHL</w:t>
      </w:r>
      <w:r w:rsidR="00354999">
        <w:rPr>
          <w:rFonts w:ascii="Arial" w:hAnsi="Arial" w:cs="Arial"/>
          <w:sz w:val="22"/>
          <w:szCs w:val="22"/>
        </w:rPr>
        <w:t>, según el cual:</w:t>
      </w:r>
    </w:p>
    <w:p w:rsidR="00EF52EA" w:rsidRPr="00EF52EA" w:rsidRDefault="00EF52EA" w:rsidP="00EF52EA">
      <w:pPr>
        <w:autoSpaceDE w:val="0"/>
        <w:autoSpaceDN w:val="0"/>
        <w:adjustRightInd w:val="0"/>
        <w:spacing w:after="120"/>
        <w:ind w:left="567"/>
        <w:jc w:val="both"/>
        <w:rPr>
          <w:rFonts w:ascii="Arial" w:eastAsia="Calibri" w:hAnsi="Arial" w:cs="Arial"/>
          <w:sz w:val="22"/>
          <w:szCs w:val="22"/>
        </w:rPr>
      </w:pPr>
      <w:r w:rsidRPr="00EF52EA">
        <w:rPr>
          <w:rFonts w:ascii="Arial" w:eastAsia="Calibri" w:hAnsi="Arial" w:cs="Arial"/>
          <w:sz w:val="22"/>
          <w:szCs w:val="22"/>
        </w:rPr>
        <w:t xml:space="preserve">" 1. En caso de liquidación del presupuesto con remanente de tesorería negativo, el Pleno de la corporación o el órgano competente del organismo autónomo, según corresponda, deberán proceder, en la primera sesión que celebren, a </w:t>
      </w:r>
      <w:r w:rsidRPr="000222D6">
        <w:rPr>
          <w:rFonts w:ascii="Arial" w:eastAsia="Calibri" w:hAnsi="Arial" w:cs="Arial"/>
          <w:sz w:val="22"/>
          <w:szCs w:val="22"/>
          <w:u w:val="single"/>
        </w:rPr>
        <w:t xml:space="preserve">la reducción de gastos del nuevo presupuesto </w:t>
      </w:r>
      <w:r w:rsidRPr="000222D6">
        <w:rPr>
          <w:rFonts w:ascii="Arial" w:eastAsia="Calibri" w:hAnsi="Arial" w:cs="Arial"/>
          <w:sz w:val="22"/>
          <w:szCs w:val="22"/>
        </w:rPr>
        <w:t>por cuantía igual al déficit producido</w:t>
      </w:r>
      <w:r w:rsidRPr="00EF52EA">
        <w:rPr>
          <w:rFonts w:ascii="Arial" w:eastAsia="Calibri" w:hAnsi="Arial" w:cs="Arial"/>
          <w:sz w:val="22"/>
          <w:szCs w:val="22"/>
        </w:rPr>
        <w:t>. La expresada reducción sólo podrá revocarse por acuerdo del Pleno, a propuesta del presidente, y previo informe del Interventor, cuando el desarrollo normal del presupuesto y la situación de la tesorería lo consintiesen.</w:t>
      </w:r>
    </w:p>
    <w:p w:rsidR="005B506D" w:rsidRPr="005B506D" w:rsidRDefault="00EF52EA" w:rsidP="00251B48">
      <w:pPr>
        <w:autoSpaceDE w:val="0"/>
        <w:autoSpaceDN w:val="0"/>
        <w:adjustRightInd w:val="0"/>
        <w:spacing w:after="120"/>
        <w:ind w:left="567"/>
        <w:jc w:val="both"/>
        <w:rPr>
          <w:rFonts w:ascii="Arial" w:eastAsia="Calibri" w:hAnsi="Arial" w:cs="Arial"/>
          <w:i/>
          <w:color w:val="0000FF"/>
          <w:sz w:val="20"/>
          <w:szCs w:val="20"/>
        </w:rPr>
      </w:pPr>
      <w:r w:rsidRPr="00EF52EA">
        <w:rPr>
          <w:rFonts w:ascii="Arial" w:eastAsia="Calibri" w:hAnsi="Arial" w:cs="Arial"/>
          <w:sz w:val="22"/>
          <w:szCs w:val="22"/>
        </w:rPr>
        <w:t xml:space="preserve">2. Si la reducción de gastos no resultase posible, se podrá acudir al </w:t>
      </w:r>
      <w:r w:rsidRPr="000222D6">
        <w:rPr>
          <w:rFonts w:ascii="Arial" w:eastAsia="Calibri" w:hAnsi="Arial" w:cs="Arial"/>
          <w:sz w:val="22"/>
          <w:szCs w:val="22"/>
          <w:u w:val="single"/>
        </w:rPr>
        <w:t xml:space="preserve">concierto de operación de crédito </w:t>
      </w:r>
      <w:r w:rsidRPr="000222D6">
        <w:rPr>
          <w:rFonts w:ascii="Arial" w:eastAsia="Calibri" w:hAnsi="Arial" w:cs="Arial"/>
          <w:sz w:val="22"/>
          <w:szCs w:val="22"/>
        </w:rPr>
        <w:t>por su importe</w:t>
      </w:r>
      <w:r w:rsidRPr="00EF52EA">
        <w:rPr>
          <w:rFonts w:ascii="Arial" w:eastAsia="Calibri" w:hAnsi="Arial" w:cs="Arial"/>
          <w:sz w:val="22"/>
          <w:szCs w:val="22"/>
        </w:rPr>
        <w:t xml:space="preserve">, siempre que se den las condiciones señaladas en el artículo 177.5 </w:t>
      </w:r>
      <w:r w:rsidR="007452D0">
        <w:rPr>
          <w:rFonts w:ascii="Arial" w:eastAsia="Calibri" w:hAnsi="Arial" w:cs="Arial"/>
          <w:sz w:val="22"/>
          <w:szCs w:val="22"/>
        </w:rPr>
        <w:t>TRLRHL</w:t>
      </w:r>
      <w:r w:rsidR="00251B48">
        <w:rPr>
          <w:rFonts w:ascii="Arial" w:eastAsia="Calibri" w:hAnsi="Arial" w:cs="Arial"/>
          <w:sz w:val="22"/>
          <w:szCs w:val="22"/>
        </w:rPr>
        <w:t>.</w:t>
      </w:r>
      <w:r w:rsidR="00251B48" w:rsidRPr="005B506D">
        <w:rPr>
          <w:rFonts w:ascii="Arial" w:eastAsia="Calibri" w:hAnsi="Arial" w:cs="Arial"/>
          <w:i/>
          <w:color w:val="0000FF"/>
          <w:sz w:val="20"/>
          <w:szCs w:val="20"/>
        </w:rPr>
        <w:t xml:space="preserve"> </w:t>
      </w:r>
    </w:p>
    <w:p w:rsidR="002C2F14" w:rsidRPr="00640E03" w:rsidRDefault="00EF52EA" w:rsidP="000222D6">
      <w:pPr>
        <w:pStyle w:val="NormalWeb"/>
        <w:shd w:val="clear" w:color="auto" w:fill="FFFFFF"/>
        <w:ind w:left="567"/>
        <w:jc w:val="both"/>
        <w:rPr>
          <w:rFonts w:ascii="lato_regular" w:hAnsi="lato_regular"/>
          <w:color w:val="292929"/>
          <w:sz w:val="20"/>
          <w:szCs w:val="20"/>
        </w:rPr>
      </w:pPr>
      <w:r w:rsidRPr="00EF52EA">
        <w:rPr>
          <w:rFonts w:ascii="Arial" w:eastAsia="Calibri" w:hAnsi="Arial" w:cs="Arial"/>
          <w:sz w:val="22"/>
          <w:szCs w:val="22"/>
        </w:rPr>
        <w:t xml:space="preserve">3. De no adoptarse ninguna de las medidas previstas en los dos apartados anteriores, </w:t>
      </w:r>
      <w:r w:rsidRPr="000222D6">
        <w:rPr>
          <w:rFonts w:ascii="Arial" w:eastAsia="Calibri" w:hAnsi="Arial" w:cs="Arial"/>
          <w:sz w:val="22"/>
          <w:szCs w:val="22"/>
          <w:u w:val="single"/>
        </w:rPr>
        <w:t xml:space="preserve">el presupuesto del ejercicio siguiente habrá de aprobarse con un superávit inicial </w:t>
      </w:r>
      <w:r w:rsidRPr="00EF52EA">
        <w:rPr>
          <w:rFonts w:ascii="Arial" w:eastAsia="Calibri" w:hAnsi="Arial" w:cs="Arial"/>
          <w:sz w:val="22"/>
          <w:szCs w:val="22"/>
        </w:rPr>
        <w:t xml:space="preserve">de cuantía no inferior al repetido </w:t>
      </w:r>
      <w:r w:rsidRPr="00A244A7">
        <w:rPr>
          <w:rFonts w:ascii="Arial" w:eastAsia="Calibri" w:hAnsi="Arial" w:cs="Arial"/>
          <w:sz w:val="22"/>
          <w:szCs w:val="22"/>
        </w:rPr>
        <w:t xml:space="preserve">déficit </w:t>
      </w:r>
      <w:r w:rsidR="009628EB" w:rsidRPr="000222D6">
        <w:rPr>
          <w:rFonts w:ascii="Arial" w:eastAsia="Calibri" w:hAnsi="Arial" w:cs="Arial"/>
          <w:sz w:val="22"/>
          <w:szCs w:val="22"/>
        </w:rPr>
        <w:t>“.</w:t>
      </w:r>
      <w:r w:rsidR="009628EB" w:rsidRPr="00640E03">
        <w:rPr>
          <w:rFonts w:ascii="Arial" w:eastAsia="Calibri" w:hAnsi="Arial" w:cs="Arial"/>
          <w:sz w:val="20"/>
          <w:szCs w:val="20"/>
          <w:highlight w:val="lightGray"/>
        </w:rPr>
        <w:t xml:space="preserve"> </w:t>
      </w:r>
      <w:r w:rsidR="009628EB" w:rsidRPr="009628EB">
        <w:rPr>
          <w:rFonts w:ascii="Arial" w:hAnsi="Arial" w:cs="Arial"/>
          <w:i/>
          <w:sz w:val="20"/>
          <w:szCs w:val="20"/>
          <w:highlight w:val="lightGray"/>
        </w:rPr>
        <w:t>(Nota</w:t>
      </w:r>
      <w:r w:rsidR="00A244A7" w:rsidRPr="00640E03">
        <w:rPr>
          <w:rFonts w:ascii="Arial" w:hAnsi="Arial" w:cs="Arial"/>
          <w:i/>
          <w:sz w:val="20"/>
          <w:szCs w:val="20"/>
          <w:highlight w:val="lightGray"/>
        </w:rPr>
        <w:t>: Tener en cuenta que el art. 193 ofrece tres medidas con un orden de prelación, primero, segundo y tercero, ya que la segunda se prevé de no ser posible la primera y la tercera para el caso de no adoptarse ninguna de las medidas previstas en los apartados anteriores)</w:t>
      </w:r>
      <w:r w:rsidR="002C2F14" w:rsidRPr="00640E03">
        <w:rPr>
          <w:rFonts w:ascii="lato_regular" w:hAnsi="lato_regular"/>
          <w:color w:val="292929"/>
          <w:sz w:val="20"/>
          <w:szCs w:val="20"/>
        </w:rPr>
        <w:t xml:space="preserve"> </w:t>
      </w:r>
    </w:p>
    <w:p w:rsidR="00AE29AD" w:rsidRDefault="00AE29AD" w:rsidP="003F50FA">
      <w:pPr>
        <w:widowControl w:val="0"/>
        <w:autoSpaceDE w:val="0"/>
        <w:autoSpaceDN w:val="0"/>
        <w:adjustRightInd w:val="0"/>
        <w:spacing w:after="120"/>
        <w:jc w:val="both"/>
      </w:pPr>
    </w:p>
    <w:p w:rsidR="004C181C" w:rsidRPr="00AE5B6C" w:rsidRDefault="00A846E9" w:rsidP="00BB60D2">
      <w:pPr>
        <w:widowControl w:val="0"/>
        <w:autoSpaceDE w:val="0"/>
        <w:autoSpaceDN w:val="0"/>
        <w:adjustRightInd w:val="0"/>
        <w:spacing w:line="240" w:lineRule="atLeast"/>
        <w:jc w:val="both"/>
        <w:rPr>
          <w:rFonts w:ascii="Arial" w:hAnsi="Arial" w:cs="Arial"/>
          <w:sz w:val="22"/>
          <w:szCs w:val="22"/>
        </w:rPr>
      </w:pPr>
      <w:r>
        <w:rPr>
          <w:rFonts w:ascii="Arial" w:hAnsi="Arial" w:cs="Arial"/>
          <w:sz w:val="22"/>
          <w:szCs w:val="22"/>
        </w:rPr>
        <w:tab/>
      </w:r>
      <w:r w:rsidR="001514FF" w:rsidRPr="00061B9E">
        <w:rPr>
          <w:rFonts w:ascii="Arial" w:hAnsi="Arial" w:cs="Arial"/>
          <w:sz w:val="22"/>
          <w:szCs w:val="22"/>
        </w:rPr>
        <w:t xml:space="preserve">En función de lo </w:t>
      </w:r>
      <w:r w:rsidR="00251B48" w:rsidRPr="00061B9E">
        <w:rPr>
          <w:rFonts w:ascii="Arial" w:hAnsi="Arial" w:cs="Arial"/>
          <w:sz w:val="22"/>
          <w:szCs w:val="22"/>
        </w:rPr>
        <w:t>expuesto,</w:t>
      </w:r>
      <w:r w:rsidR="001514FF" w:rsidRPr="00061B9E">
        <w:rPr>
          <w:rFonts w:ascii="Arial" w:hAnsi="Arial" w:cs="Arial"/>
          <w:sz w:val="22"/>
          <w:szCs w:val="22"/>
        </w:rPr>
        <w:t xml:space="preserve"> </w:t>
      </w:r>
      <w:r w:rsidR="004C181C" w:rsidRPr="00061B9E">
        <w:rPr>
          <w:rFonts w:ascii="Arial" w:hAnsi="Arial" w:cs="Arial"/>
          <w:sz w:val="22"/>
          <w:szCs w:val="22"/>
        </w:rPr>
        <w:t>se informa que la Liquidación del Presupuesto del ejercicio económico 20____cumple la normativa aplicable por lo que procede su aprobación.</w:t>
      </w:r>
    </w:p>
    <w:p w:rsidR="004C181C" w:rsidRDefault="004C181C" w:rsidP="00BB60D2">
      <w:pPr>
        <w:widowControl w:val="0"/>
        <w:autoSpaceDE w:val="0"/>
        <w:autoSpaceDN w:val="0"/>
        <w:adjustRightInd w:val="0"/>
        <w:spacing w:line="240" w:lineRule="atLeast"/>
        <w:jc w:val="both"/>
        <w:rPr>
          <w:rFonts w:ascii="Arial" w:hAnsi="Arial" w:cs="Arial"/>
          <w:sz w:val="22"/>
          <w:szCs w:val="22"/>
          <w:highlight w:val="yellow"/>
        </w:rPr>
      </w:pPr>
    </w:p>
    <w:p w:rsidR="008C0F21" w:rsidRPr="00970707" w:rsidRDefault="008C0F21" w:rsidP="008C0F21">
      <w:pPr>
        <w:widowControl w:val="0"/>
        <w:autoSpaceDE w:val="0"/>
        <w:autoSpaceDN w:val="0"/>
        <w:adjustRightInd w:val="0"/>
        <w:spacing w:line="240" w:lineRule="atLeast"/>
        <w:jc w:val="both"/>
        <w:rPr>
          <w:rFonts w:ascii="Arial" w:hAnsi="Arial"/>
        </w:rPr>
      </w:pPr>
    </w:p>
    <w:p w:rsidR="008C0F21" w:rsidRDefault="008C0F21" w:rsidP="007452D0">
      <w:pPr>
        <w:widowControl w:val="0"/>
        <w:autoSpaceDE w:val="0"/>
        <w:autoSpaceDN w:val="0"/>
        <w:adjustRightInd w:val="0"/>
        <w:spacing w:line="240" w:lineRule="atLeast"/>
        <w:jc w:val="center"/>
        <w:rPr>
          <w:rFonts w:ascii="Arial" w:hAnsi="Arial"/>
          <w:sz w:val="22"/>
          <w:szCs w:val="22"/>
        </w:rPr>
      </w:pPr>
      <w:r w:rsidRPr="00A1295F">
        <w:rPr>
          <w:rFonts w:ascii="Arial" w:hAnsi="Arial"/>
          <w:sz w:val="22"/>
          <w:szCs w:val="22"/>
        </w:rPr>
        <w:t>En</w:t>
      </w:r>
      <w:r>
        <w:rPr>
          <w:rFonts w:ascii="Arial" w:hAnsi="Arial"/>
          <w:sz w:val="22"/>
          <w:szCs w:val="22"/>
        </w:rPr>
        <w:t xml:space="preserve"> </w:t>
      </w:r>
      <w:r w:rsidRPr="00A1295F">
        <w:rPr>
          <w:rFonts w:ascii="Arial" w:hAnsi="Arial"/>
          <w:sz w:val="22"/>
          <w:szCs w:val="22"/>
        </w:rPr>
        <w:t>____________________a</w:t>
      </w:r>
      <w:r>
        <w:rPr>
          <w:rFonts w:ascii="Arial" w:hAnsi="Arial"/>
          <w:sz w:val="22"/>
          <w:szCs w:val="22"/>
        </w:rPr>
        <w:t xml:space="preserve"> </w:t>
      </w:r>
      <w:r w:rsidRPr="00A1295F">
        <w:rPr>
          <w:rFonts w:ascii="Arial" w:hAnsi="Arial"/>
          <w:sz w:val="22"/>
          <w:szCs w:val="22"/>
        </w:rPr>
        <w:t xml:space="preserve">______de_____________ </w:t>
      </w:r>
      <w:proofErr w:type="spellStart"/>
      <w:r w:rsidRPr="00A1295F">
        <w:rPr>
          <w:rFonts w:ascii="Arial" w:hAnsi="Arial"/>
          <w:sz w:val="22"/>
          <w:szCs w:val="22"/>
        </w:rPr>
        <w:t>de</w:t>
      </w:r>
      <w:proofErr w:type="spellEnd"/>
      <w:r w:rsidRPr="00A1295F">
        <w:rPr>
          <w:rFonts w:ascii="Arial" w:hAnsi="Arial"/>
          <w:sz w:val="22"/>
          <w:szCs w:val="22"/>
        </w:rPr>
        <w:t xml:space="preserve"> 20</w:t>
      </w:r>
      <w:r w:rsidR="009628EB">
        <w:rPr>
          <w:rFonts w:ascii="Arial" w:hAnsi="Arial"/>
          <w:sz w:val="22"/>
          <w:szCs w:val="22"/>
        </w:rPr>
        <w:t>2</w:t>
      </w:r>
      <w:r w:rsidRPr="00A1295F">
        <w:rPr>
          <w:rFonts w:ascii="Arial" w:hAnsi="Arial"/>
          <w:sz w:val="22"/>
          <w:szCs w:val="22"/>
        </w:rPr>
        <w:t>___.</w:t>
      </w:r>
    </w:p>
    <w:p w:rsidR="008C0F21" w:rsidRPr="00A1295F" w:rsidRDefault="008C0F21" w:rsidP="008C0F21">
      <w:pPr>
        <w:widowControl w:val="0"/>
        <w:autoSpaceDE w:val="0"/>
        <w:autoSpaceDN w:val="0"/>
        <w:adjustRightInd w:val="0"/>
        <w:spacing w:line="240" w:lineRule="atLeast"/>
        <w:jc w:val="both"/>
        <w:rPr>
          <w:rFonts w:ascii="Arial" w:hAnsi="Arial"/>
          <w:sz w:val="22"/>
          <w:szCs w:val="22"/>
        </w:rPr>
      </w:pPr>
    </w:p>
    <w:p w:rsidR="008C0F21" w:rsidRDefault="008C0F21" w:rsidP="008C0F21">
      <w:pPr>
        <w:widowControl w:val="0"/>
        <w:autoSpaceDE w:val="0"/>
        <w:autoSpaceDN w:val="0"/>
        <w:adjustRightInd w:val="0"/>
        <w:spacing w:line="240" w:lineRule="atLeast"/>
        <w:jc w:val="center"/>
        <w:rPr>
          <w:rFonts w:ascii="Arial" w:hAnsi="Arial"/>
          <w:sz w:val="22"/>
          <w:szCs w:val="22"/>
        </w:rPr>
      </w:pPr>
      <w:r w:rsidRPr="00A1295F">
        <w:rPr>
          <w:rFonts w:ascii="Arial" w:hAnsi="Arial"/>
          <w:sz w:val="22"/>
          <w:szCs w:val="22"/>
        </w:rPr>
        <w:t>EL/LA SECRETARIO/A-INTERVENTOR/A</w:t>
      </w:r>
      <w:r w:rsidR="007452D0">
        <w:rPr>
          <w:rFonts w:ascii="Arial" w:hAnsi="Arial"/>
          <w:sz w:val="22"/>
          <w:szCs w:val="22"/>
        </w:rPr>
        <w:t xml:space="preserve"> o EL/LA INTERVENTOR/A</w:t>
      </w:r>
    </w:p>
    <w:p w:rsidR="007452D0" w:rsidRDefault="007452D0" w:rsidP="008C0F21">
      <w:pPr>
        <w:widowControl w:val="0"/>
        <w:autoSpaceDE w:val="0"/>
        <w:autoSpaceDN w:val="0"/>
        <w:adjustRightInd w:val="0"/>
        <w:spacing w:line="240" w:lineRule="atLeast"/>
        <w:jc w:val="center"/>
        <w:rPr>
          <w:rFonts w:ascii="Arial" w:hAnsi="Arial"/>
          <w:sz w:val="22"/>
          <w:szCs w:val="22"/>
        </w:rPr>
      </w:pPr>
    </w:p>
    <w:p w:rsidR="007452D0" w:rsidRDefault="007452D0" w:rsidP="008C0F21">
      <w:pPr>
        <w:widowControl w:val="0"/>
        <w:autoSpaceDE w:val="0"/>
        <w:autoSpaceDN w:val="0"/>
        <w:adjustRightInd w:val="0"/>
        <w:spacing w:line="240" w:lineRule="atLeast"/>
        <w:jc w:val="center"/>
        <w:rPr>
          <w:rFonts w:ascii="Arial" w:hAnsi="Arial"/>
          <w:sz w:val="22"/>
          <w:szCs w:val="22"/>
        </w:rPr>
      </w:pPr>
    </w:p>
    <w:p w:rsidR="007452D0" w:rsidRDefault="007452D0" w:rsidP="008C0F21">
      <w:pPr>
        <w:widowControl w:val="0"/>
        <w:autoSpaceDE w:val="0"/>
        <w:autoSpaceDN w:val="0"/>
        <w:adjustRightInd w:val="0"/>
        <w:spacing w:line="240" w:lineRule="atLeast"/>
        <w:jc w:val="center"/>
        <w:rPr>
          <w:rFonts w:ascii="Arial" w:hAnsi="Arial"/>
          <w:sz w:val="22"/>
          <w:szCs w:val="22"/>
        </w:rPr>
      </w:pPr>
    </w:p>
    <w:p w:rsidR="007452D0" w:rsidRDefault="007452D0" w:rsidP="008C0F21">
      <w:pPr>
        <w:widowControl w:val="0"/>
        <w:autoSpaceDE w:val="0"/>
        <w:autoSpaceDN w:val="0"/>
        <w:adjustRightInd w:val="0"/>
        <w:spacing w:line="240" w:lineRule="atLeast"/>
        <w:jc w:val="center"/>
        <w:rPr>
          <w:rFonts w:ascii="Arial" w:hAnsi="Arial"/>
          <w:sz w:val="22"/>
          <w:szCs w:val="22"/>
        </w:rPr>
      </w:pPr>
    </w:p>
    <w:p w:rsidR="007452D0" w:rsidRDefault="007452D0" w:rsidP="008C0F21">
      <w:pPr>
        <w:widowControl w:val="0"/>
        <w:autoSpaceDE w:val="0"/>
        <w:autoSpaceDN w:val="0"/>
        <w:adjustRightInd w:val="0"/>
        <w:spacing w:line="240" w:lineRule="atLeast"/>
        <w:jc w:val="center"/>
        <w:rPr>
          <w:rFonts w:ascii="Arial" w:hAnsi="Arial"/>
          <w:sz w:val="22"/>
          <w:szCs w:val="22"/>
        </w:rPr>
      </w:pPr>
    </w:p>
    <w:p w:rsidR="007452D0" w:rsidRDefault="007452D0" w:rsidP="008C0F21">
      <w:pPr>
        <w:widowControl w:val="0"/>
        <w:autoSpaceDE w:val="0"/>
        <w:autoSpaceDN w:val="0"/>
        <w:adjustRightInd w:val="0"/>
        <w:spacing w:line="240" w:lineRule="atLeast"/>
        <w:jc w:val="center"/>
        <w:rPr>
          <w:rFonts w:ascii="Arial" w:hAnsi="Arial"/>
          <w:sz w:val="22"/>
          <w:szCs w:val="22"/>
        </w:rPr>
      </w:pPr>
    </w:p>
    <w:p w:rsidR="007452D0" w:rsidRPr="00A1295F" w:rsidRDefault="007452D0" w:rsidP="008C0F21">
      <w:pPr>
        <w:widowControl w:val="0"/>
        <w:autoSpaceDE w:val="0"/>
        <w:autoSpaceDN w:val="0"/>
        <w:adjustRightInd w:val="0"/>
        <w:spacing w:line="240" w:lineRule="atLeast"/>
        <w:jc w:val="center"/>
        <w:rPr>
          <w:rFonts w:ascii="Arial" w:hAnsi="Arial"/>
          <w:sz w:val="22"/>
          <w:szCs w:val="22"/>
        </w:rPr>
      </w:pPr>
      <w:r>
        <w:rPr>
          <w:rFonts w:ascii="Arial" w:hAnsi="Arial"/>
          <w:sz w:val="22"/>
          <w:szCs w:val="22"/>
        </w:rPr>
        <w:t>Fdo.: _________________________________</w:t>
      </w:r>
    </w:p>
    <w:p w:rsidR="008C0F21" w:rsidRPr="00A1295F" w:rsidRDefault="008C0F21" w:rsidP="008C0F21">
      <w:pPr>
        <w:widowControl w:val="0"/>
        <w:autoSpaceDE w:val="0"/>
        <w:autoSpaceDN w:val="0"/>
        <w:adjustRightInd w:val="0"/>
        <w:spacing w:line="240" w:lineRule="atLeast"/>
        <w:jc w:val="both"/>
        <w:rPr>
          <w:rFonts w:ascii="Arial" w:hAnsi="Arial"/>
          <w:sz w:val="22"/>
          <w:szCs w:val="22"/>
        </w:rPr>
      </w:pPr>
    </w:p>
    <w:p w:rsidR="008C0F21" w:rsidRDefault="008C0F21" w:rsidP="008C0F21">
      <w:pPr>
        <w:widowControl w:val="0"/>
        <w:autoSpaceDE w:val="0"/>
        <w:autoSpaceDN w:val="0"/>
        <w:adjustRightInd w:val="0"/>
        <w:spacing w:line="240" w:lineRule="atLeast"/>
        <w:jc w:val="both"/>
        <w:rPr>
          <w:rFonts w:ascii="Arial" w:hAnsi="Arial"/>
        </w:rPr>
      </w:pPr>
    </w:p>
    <w:p w:rsidR="00062632" w:rsidRDefault="00062632"/>
    <w:p w:rsidR="00A6620C" w:rsidRDefault="00A6620C"/>
    <w:p w:rsidR="00A6620C" w:rsidRDefault="00A6620C"/>
    <w:p w:rsidR="00A6620C" w:rsidRDefault="00A6620C"/>
    <w:p w:rsidR="00A6620C" w:rsidRDefault="00A6620C"/>
    <w:p w:rsidR="00A6620C" w:rsidRDefault="00A6620C"/>
    <w:p w:rsidR="00A6620C" w:rsidRDefault="00A6620C"/>
    <w:p w:rsidR="00A6620C" w:rsidRDefault="00A6620C"/>
    <w:p w:rsidR="0005611A" w:rsidRDefault="0005611A"/>
    <w:p w:rsidR="00285D73" w:rsidRDefault="00285D73"/>
    <w:p w:rsidR="00285D73" w:rsidRDefault="00285D73"/>
    <w:p w:rsidR="00285D73" w:rsidRDefault="00285D73"/>
    <w:p w:rsidR="00285D73" w:rsidRDefault="00285D73"/>
    <w:p w:rsidR="00062632" w:rsidRDefault="00062632" w:rsidP="007C1FB6">
      <w:pPr>
        <w:ind w:right="-1"/>
        <w:jc w:val="center"/>
        <w:rPr>
          <w:rFonts w:ascii="Calibri" w:hAnsi="Calibri" w:cs="Calibri"/>
          <w:b/>
          <w:sz w:val="22"/>
          <w:szCs w:val="22"/>
        </w:rPr>
      </w:pPr>
      <w:r w:rsidRPr="00D94812">
        <w:rPr>
          <w:rFonts w:ascii="Calibri" w:hAnsi="Calibri" w:cs="Calibri"/>
          <w:b/>
          <w:sz w:val="22"/>
          <w:szCs w:val="22"/>
        </w:rPr>
        <w:t xml:space="preserve">NOTAS </w:t>
      </w:r>
      <w:r w:rsidR="00854834" w:rsidRPr="00D94812">
        <w:rPr>
          <w:rFonts w:ascii="Calibri" w:hAnsi="Calibri" w:cs="Calibri"/>
          <w:b/>
          <w:sz w:val="22"/>
          <w:szCs w:val="22"/>
        </w:rPr>
        <w:t xml:space="preserve">ACLARATORIAS </w:t>
      </w:r>
      <w:r w:rsidRPr="00D94812">
        <w:rPr>
          <w:rFonts w:ascii="Calibri" w:hAnsi="Calibri" w:cs="Calibri"/>
          <w:b/>
          <w:sz w:val="22"/>
          <w:szCs w:val="22"/>
        </w:rPr>
        <w:t xml:space="preserve">AL INFORME DE </w:t>
      </w:r>
      <w:r w:rsidR="002137C3">
        <w:rPr>
          <w:rFonts w:ascii="Calibri" w:hAnsi="Calibri" w:cs="Calibri"/>
          <w:b/>
          <w:sz w:val="22"/>
          <w:szCs w:val="22"/>
        </w:rPr>
        <w:t>ESTABILIDAD PRESUPUESTARIA</w:t>
      </w:r>
      <w:r w:rsidRPr="00D94812">
        <w:rPr>
          <w:rFonts w:ascii="Calibri" w:hAnsi="Calibri" w:cs="Calibri"/>
          <w:b/>
          <w:sz w:val="22"/>
          <w:szCs w:val="22"/>
        </w:rPr>
        <w:t xml:space="preserve">, </w:t>
      </w:r>
      <w:r w:rsidR="002137C3">
        <w:rPr>
          <w:rFonts w:ascii="Calibri" w:hAnsi="Calibri" w:cs="Calibri"/>
          <w:b/>
          <w:sz w:val="22"/>
          <w:szCs w:val="22"/>
        </w:rPr>
        <w:t>NIVEL DE DEUDA</w:t>
      </w:r>
      <w:r w:rsidR="00D94812" w:rsidRPr="00D94812">
        <w:rPr>
          <w:rFonts w:ascii="Calibri" w:hAnsi="Calibri" w:cs="Calibri"/>
          <w:b/>
          <w:sz w:val="22"/>
          <w:szCs w:val="22"/>
        </w:rPr>
        <w:t xml:space="preserve"> Y VARIACION GASTO COMPUTABLE:</w:t>
      </w:r>
    </w:p>
    <w:p w:rsidR="008B2C81" w:rsidRPr="001B0E83" w:rsidRDefault="008B2C81" w:rsidP="00062632">
      <w:pPr>
        <w:ind w:right="-1"/>
        <w:jc w:val="both"/>
        <w:rPr>
          <w:rFonts w:ascii="Calibri" w:hAnsi="Calibri" w:cs="Calibri"/>
          <w:sz w:val="22"/>
          <w:szCs w:val="22"/>
        </w:rPr>
      </w:pPr>
    </w:p>
    <w:p w:rsidR="00062632" w:rsidRPr="00D94812" w:rsidRDefault="00062632" w:rsidP="008A5085">
      <w:pPr>
        <w:ind w:right="-1" w:firstLine="709"/>
        <w:jc w:val="both"/>
        <w:rPr>
          <w:rFonts w:ascii="Calibri" w:hAnsi="Calibri" w:cs="Calibri"/>
          <w:i/>
          <w:sz w:val="22"/>
          <w:szCs w:val="22"/>
        </w:rPr>
      </w:pPr>
      <w:r w:rsidRPr="00D94812">
        <w:rPr>
          <w:rFonts w:ascii="Calibri" w:hAnsi="Calibri" w:cs="Calibri"/>
          <w:i/>
          <w:sz w:val="22"/>
          <w:szCs w:val="22"/>
        </w:rPr>
        <w:t xml:space="preserve">El modelo de informe </w:t>
      </w:r>
      <w:r w:rsidR="00D94812">
        <w:rPr>
          <w:rFonts w:ascii="Calibri" w:hAnsi="Calibri" w:cs="Calibri"/>
          <w:i/>
          <w:sz w:val="22"/>
          <w:szCs w:val="22"/>
        </w:rPr>
        <w:t xml:space="preserve">que se incluye a continuación </w:t>
      </w:r>
      <w:r w:rsidRPr="00D94812">
        <w:rPr>
          <w:rFonts w:ascii="Calibri" w:hAnsi="Calibri" w:cs="Calibri"/>
          <w:i/>
          <w:sz w:val="22"/>
          <w:szCs w:val="22"/>
        </w:rPr>
        <w:t xml:space="preserve">es </w:t>
      </w:r>
      <w:r w:rsidRPr="00D94812">
        <w:rPr>
          <w:rFonts w:ascii="Calibri" w:hAnsi="Calibri" w:cs="Calibri"/>
          <w:i/>
          <w:color w:val="0000FF"/>
          <w:sz w:val="22"/>
          <w:szCs w:val="22"/>
        </w:rPr>
        <w:t>orientativo</w:t>
      </w:r>
      <w:r w:rsidRPr="00D94812">
        <w:rPr>
          <w:rFonts w:ascii="Calibri" w:hAnsi="Calibri" w:cs="Calibri"/>
          <w:i/>
          <w:sz w:val="22"/>
          <w:szCs w:val="22"/>
        </w:rPr>
        <w:t xml:space="preserve"> y con él se pretende asistir a las Entidades locales de la provincia, </w:t>
      </w:r>
      <w:r w:rsidRPr="00D94812">
        <w:rPr>
          <w:rFonts w:ascii="Calibri" w:hAnsi="Calibri" w:cs="Calibri"/>
          <w:i/>
          <w:color w:val="0000FF"/>
          <w:sz w:val="22"/>
          <w:szCs w:val="22"/>
        </w:rPr>
        <w:t>debiéndose revisar y adaptar</w:t>
      </w:r>
      <w:r w:rsidRPr="00D94812">
        <w:rPr>
          <w:rFonts w:ascii="Calibri" w:hAnsi="Calibri" w:cs="Calibri"/>
          <w:i/>
          <w:sz w:val="22"/>
          <w:szCs w:val="22"/>
        </w:rPr>
        <w:t xml:space="preserve"> a las circunstancias y particularidades de cada Entidad.</w:t>
      </w:r>
    </w:p>
    <w:p w:rsidR="00062632" w:rsidRPr="00D94812" w:rsidRDefault="00062632" w:rsidP="00062632">
      <w:pPr>
        <w:ind w:right="-1"/>
        <w:jc w:val="both"/>
        <w:rPr>
          <w:rFonts w:ascii="Calibri" w:hAnsi="Calibri" w:cs="Calibri"/>
          <w:i/>
          <w:sz w:val="22"/>
          <w:szCs w:val="22"/>
        </w:rPr>
      </w:pPr>
      <w:r w:rsidRPr="00D94812">
        <w:rPr>
          <w:rFonts w:ascii="Calibri" w:hAnsi="Calibri" w:cs="Calibri"/>
          <w:i/>
          <w:sz w:val="22"/>
          <w:szCs w:val="22"/>
        </w:rPr>
        <w:t xml:space="preserve"> </w:t>
      </w:r>
    </w:p>
    <w:p w:rsidR="00EE4872" w:rsidRPr="00D94812" w:rsidRDefault="00062632" w:rsidP="008A5085">
      <w:pPr>
        <w:ind w:right="-1" w:firstLine="709"/>
        <w:jc w:val="both"/>
        <w:rPr>
          <w:rFonts w:cs="Calibri"/>
          <w:i/>
        </w:rPr>
      </w:pPr>
      <w:r w:rsidRPr="00425F88">
        <w:rPr>
          <w:rFonts w:ascii="Calibri" w:hAnsi="Calibri" w:cs="Calibri"/>
          <w:b/>
          <w:i/>
          <w:sz w:val="22"/>
          <w:szCs w:val="22"/>
        </w:rPr>
        <w:t>A)</w:t>
      </w:r>
      <w:r w:rsidRPr="00D94812">
        <w:rPr>
          <w:rFonts w:ascii="Calibri" w:hAnsi="Calibri" w:cs="Calibri"/>
          <w:i/>
          <w:sz w:val="22"/>
          <w:szCs w:val="22"/>
        </w:rPr>
        <w:t xml:space="preserve"> </w:t>
      </w:r>
      <w:r w:rsidRPr="00D94812">
        <w:rPr>
          <w:rFonts w:ascii="Calibri" w:hAnsi="Calibri" w:cs="Calibri"/>
          <w:i/>
          <w:color w:val="0000FF"/>
          <w:sz w:val="22"/>
          <w:szCs w:val="22"/>
        </w:rPr>
        <w:t>En este modelo</w:t>
      </w:r>
      <w:r w:rsidRPr="00D94812">
        <w:rPr>
          <w:rFonts w:ascii="Calibri" w:hAnsi="Calibri" w:cs="Calibri"/>
          <w:i/>
          <w:sz w:val="22"/>
          <w:szCs w:val="22"/>
        </w:rPr>
        <w:t xml:space="preserve"> se parte de que </w:t>
      </w:r>
      <w:r w:rsidRPr="00D94812">
        <w:rPr>
          <w:rFonts w:ascii="Calibri" w:hAnsi="Calibri" w:cs="Calibri"/>
          <w:i/>
          <w:color w:val="0000FF"/>
          <w:sz w:val="22"/>
          <w:szCs w:val="22"/>
        </w:rPr>
        <w:t>la Entidad es única</w:t>
      </w:r>
      <w:r w:rsidRPr="00D94812">
        <w:rPr>
          <w:rFonts w:ascii="Calibri" w:hAnsi="Calibri" w:cs="Calibri"/>
          <w:i/>
          <w:sz w:val="22"/>
          <w:szCs w:val="22"/>
        </w:rPr>
        <w:t xml:space="preserve"> </w:t>
      </w:r>
      <w:r w:rsidR="00B00310" w:rsidRPr="00D94812">
        <w:rPr>
          <w:rFonts w:ascii="Calibri" w:hAnsi="Calibri" w:cs="Calibri"/>
          <w:i/>
          <w:sz w:val="22"/>
          <w:szCs w:val="22"/>
        </w:rPr>
        <w:t xml:space="preserve">(carece de entes dependientes) </w:t>
      </w:r>
      <w:r w:rsidRPr="00D94812">
        <w:rPr>
          <w:rFonts w:ascii="Calibri" w:hAnsi="Calibri" w:cs="Calibri"/>
          <w:i/>
          <w:sz w:val="22"/>
          <w:szCs w:val="22"/>
        </w:rPr>
        <w:t xml:space="preserve">pues </w:t>
      </w:r>
      <w:r w:rsidR="00285D73" w:rsidRPr="00D94812">
        <w:rPr>
          <w:rFonts w:ascii="Calibri" w:hAnsi="Calibri" w:cs="Calibri"/>
          <w:i/>
          <w:sz w:val="22"/>
          <w:szCs w:val="22"/>
        </w:rPr>
        <w:t xml:space="preserve">es </w:t>
      </w:r>
      <w:r w:rsidRPr="00D94812">
        <w:rPr>
          <w:rFonts w:ascii="Calibri" w:hAnsi="Calibri" w:cs="Calibri"/>
          <w:i/>
          <w:sz w:val="22"/>
          <w:szCs w:val="22"/>
        </w:rPr>
        <w:t>el caso de la mayoría de los municipios de la provincia.</w:t>
      </w:r>
      <w:r w:rsidRPr="00D94812">
        <w:rPr>
          <w:rFonts w:cs="Calibri"/>
          <w:i/>
        </w:rPr>
        <w:t xml:space="preserve"> </w:t>
      </w:r>
    </w:p>
    <w:p w:rsidR="00B00310" w:rsidRPr="00D94812" w:rsidRDefault="00EE4872" w:rsidP="00B00310">
      <w:pPr>
        <w:autoSpaceDE w:val="0"/>
        <w:autoSpaceDN w:val="0"/>
        <w:adjustRightInd w:val="0"/>
        <w:spacing w:before="120"/>
        <w:jc w:val="both"/>
        <w:rPr>
          <w:rFonts w:ascii="Calibri" w:hAnsi="Calibri" w:cs="Calibri"/>
          <w:i/>
          <w:sz w:val="22"/>
          <w:szCs w:val="22"/>
        </w:rPr>
      </w:pPr>
      <w:r w:rsidRPr="00D94812">
        <w:rPr>
          <w:rFonts w:cs="Calibri"/>
          <w:i/>
        </w:rPr>
        <w:tab/>
      </w:r>
      <w:r w:rsidR="00062632" w:rsidRPr="00D94812">
        <w:rPr>
          <w:rFonts w:ascii="Calibri" w:hAnsi="Calibri" w:cs="Calibri"/>
          <w:i/>
          <w:sz w:val="22"/>
          <w:szCs w:val="22"/>
          <w:u w:val="single"/>
        </w:rPr>
        <w:t>Si existen entes dependient</w:t>
      </w:r>
      <w:r w:rsidR="009E2225" w:rsidRPr="00D94812">
        <w:rPr>
          <w:rFonts w:ascii="Calibri" w:hAnsi="Calibri" w:cs="Calibri"/>
          <w:i/>
          <w:sz w:val="22"/>
          <w:szCs w:val="22"/>
          <w:u w:val="single"/>
        </w:rPr>
        <w:t>es</w:t>
      </w:r>
      <w:r w:rsidR="009E2225" w:rsidRPr="00D94812">
        <w:rPr>
          <w:rFonts w:ascii="Calibri" w:hAnsi="Calibri" w:cs="Calibri"/>
          <w:i/>
          <w:sz w:val="22"/>
          <w:szCs w:val="22"/>
        </w:rPr>
        <w:t xml:space="preserve"> </w:t>
      </w:r>
      <w:r w:rsidRPr="00D94812">
        <w:rPr>
          <w:rFonts w:ascii="Calibri" w:hAnsi="Calibri" w:cs="Calibri"/>
          <w:i/>
          <w:sz w:val="22"/>
          <w:szCs w:val="22"/>
        </w:rPr>
        <w:t xml:space="preserve">o vinculados </w:t>
      </w:r>
      <w:r w:rsidR="00B00310" w:rsidRPr="00D94812">
        <w:rPr>
          <w:rFonts w:ascii="Calibri" w:hAnsi="Calibri" w:cs="Calibri"/>
          <w:i/>
          <w:sz w:val="22"/>
          <w:szCs w:val="22"/>
        </w:rPr>
        <w:t>tener en cuenta la Guía para la comunicación de información de la Liquidación  que se publica anualmente</w:t>
      </w:r>
      <w:r w:rsidR="008F781A" w:rsidRPr="00D94812">
        <w:rPr>
          <w:rFonts w:ascii="Calibri" w:hAnsi="Calibri" w:cs="Calibri"/>
          <w:i/>
          <w:sz w:val="22"/>
          <w:szCs w:val="22"/>
        </w:rPr>
        <w:t xml:space="preserve"> </w:t>
      </w:r>
      <w:r w:rsidR="00B00310" w:rsidRPr="00D94812">
        <w:rPr>
          <w:rFonts w:ascii="Calibri" w:hAnsi="Calibri" w:cs="Calibri"/>
          <w:i/>
          <w:sz w:val="22"/>
          <w:szCs w:val="22"/>
        </w:rPr>
        <w:t>(junto a la aplicación de captura de la Liquidación) en la Oficina Virtual para la Coordinación Financiera con las Entidades locales, y en concreto el punto 2.5 :</w:t>
      </w:r>
    </w:p>
    <w:p w:rsidR="00B00310" w:rsidRPr="00D94812" w:rsidRDefault="00430F8F" w:rsidP="00B00310">
      <w:pPr>
        <w:autoSpaceDE w:val="0"/>
        <w:autoSpaceDN w:val="0"/>
        <w:adjustRightInd w:val="0"/>
        <w:spacing w:before="120"/>
        <w:jc w:val="center"/>
        <w:rPr>
          <w:rFonts w:cs="Calibri"/>
          <w:i/>
        </w:rPr>
      </w:pPr>
      <w:r w:rsidRPr="00D94812">
        <w:rPr>
          <w:rFonts w:cs="Calibri"/>
          <w:i/>
          <w:noProof/>
        </w:rPr>
        <w:drawing>
          <wp:inline distT="0" distB="0" distL="0" distR="0">
            <wp:extent cx="5357495" cy="1878330"/>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57495" cy="1878330"/>
                    </a:xfrm>
                    <a:prstGeom prst="rect">
                      <a:avLst/>
                    </a:prstGeom>
                    <a:noFill/>
                    <a:ln w="9525">
                      <a:noFill/>
                      <a:miter lim="800000"/>
                      <a:headEnd/>
                      <a:tailEnd/>
                    </a:ln>
                  </pic:spPr>
                </pic:pic>
              </a:graphicData>
            </a:graphic>
          </wp:inline>
        </w:drawing>
      </w:r>
    </w:p>
    <w:p w:rsidR="00062632" w:rsidRPr="00D94812" w:rsidRDefault="00062632" w:rsidP="00062632">
      <w:pPr>
        <w:pStyle w:val="Default"/>
        <w:ind w:right="-1"/>
        <w:jc w:val="both"/>
        <w:rPr>
          <w:rFonts w:ascii="Calibri" w:hAnsi="Calibri" w:cs="Calibri"/>
          <w:i/>
          <w:color w:val="auto"/>
          <w:sz w:val="22"/>
          <w:szCs w:val="22"/>
        </w:rPr>
      </w:pPr>
    </w:p>
    <w:p w:rsidR="00062632" w:rsidRPr="00D94812" w:rsidRDefault="00062632" w:rsidP="008A5085">
      <w:pPr>
        <w:pStyle w:val="Default"/>
        <w:spacing w:after="120"/>
        <w:ind w:firstLine="709"/>
        <w:jc w:val="both"/>
        <w:rPr>
          <w:rFonts w:ascii="Calibri" w:hAnsi="Calibri" w:cs="Calibri"/>
          <w:i/>
          <w:color w:val="auto"/>
          <w:sz w:val="22"/>
          <w:szCs w:val="22"/>
        </w:rPr>
      </w:pPr>
      <w:r w:rsidRPr="00425F88">
        <w:rPr>
          <w:rFonts w:ascii="Calibri" w:hAnsi="Calibri" w:cs="Calibri"/>
          <w:b/>
          <w:i/>
          <w:color w:val="auto"/>
          <w:sz w:val="22"/>
          <w:szCs w:val="22"/>
        </w:rPr>
        <w:t>B)</w:t>
      </w:r>
      <w:r w:rsidRPr="00D94812">
        <w:rPr>
          <w:rFonts w:ascii="Calibri" w:hAnsi="Calibri" w:cs="Calibri"/>
          <w:i/>
          <w:color w:val="auto"/>
          <w:sz w:val="22"/>
          <w:szCs w:val="22"/>
        </w:rPr>
        <w:t xml:space="preserve"> Respecto a los </w:t>
      </w:r>
      <w:r w:rsidRPr="00D94812">
        <w:rPr>
          <w:rFonts w:ascii="Calibri" w:hAnsi="Calibri" w:cs="Calibri"/>
          <w:i/>
          <w:color w:val="0000FF"/>
          <w:sz w:val="22"/>
          <w:szCs w:val="22"/>
        </w:rPr>
        <w:t>ajustes SEC, en este modelo se contemplan aquellos que se estiman más frecuentes.</w:t>
      </w:r>
      <w:r w:rsidRPr="00D94812">
        <w:rPr>
          <w:rFonts w:ascii="Calibri" w:hAnsi="Calibri" w:cs="Calibri"/>
          <w:i/>
          <w:color w:val="auto"/>
          <w:sz w:val="22"/>
          <w:szCs w:val="22"/>
        </w:rPr>
        <w:t xml:space="preserve"> Por ello, para realizar otros ajustes SEC, se debe consultar: </w:t>
      </w:r>
    </w:p>
    <w:p w:rsidR="00062632" w:rsidRPr="00D94812" w:rsidRDefault="00062632" w:rsidP="008A5085">
      <w:pPr>
        <w:numPr>
          <w:ilvl w:val="0"/>
          <w:numId w:val="4"/>
        </w:numPr>
        <w:tabs>
          <w:tab w:val="clear" w:pos="1920"/>
        </w:tabs>
        <w:spacing w:after="120"/>
        <w:ind w:left="993" w:hanging="284"/>
        <w:jc w:val="both"/>
        <w:rPr>
          <w:rFonts w:ascii="Calibri" w:hAnsi="Calibri" w:cs="Calibri"/>
          <w:i/>
          <w:sz w:val="22"/>
          <w:szCs w:val="22"/>
        </w:rPr>
      </w:pPr>
      <w:r w:rsidRPr="00D94812">
        <w:rPr>
          <w:rFonts w:ascii="Calibri" w:hAnsi="Calibri" w:cs="Calibri"/>
          <w:i/>
          <w:sz w:val="22"/>
          <w:szCs w:val="22"/>
        </w:rPr>
        <w:t>Manual de cálculo del déficit en contabilidad nacional adaptado a las Corporaciones Locales, publicado por la IGAE.</w:t>
      </w:r>
    </w:p>
    <w:p w:rsidR="00062632" w:rsidRPr="00D94812" w:rsidRDefault="00062632" w:rsidP="008A5085">
      <w:pPr>
        <w:numPr>
          <w:ilvl w:val="0"/>
          <w:numId w:val="4"/>
        </w:numPr>
        <w:tabs>
          <w:tab w:val="clear" w:pos="1920"/>
        </w:tabs>
        <w:ind w:left="993" w:right="-1" w:hanging="284"/>
        <w:jc w:val="both"/>
        <w:rPr>
          <w:rFonts w:ascii="Calibri" w:hAnsi="Calibri" w:cs="Calibri"/>
          <w:i/>
          <w:sz w:val="22"/>
          <w:szCs w:val="22"/>
        </w:rPr>
      </w:pPr>
      <w:r w:rsidRPr="00D94812">
        <w:rPr>
          <w:rFonts w:ascii="Calibri" w:hAnsi="Calibri" w:cs="Calibri"/>
          <w:i/>
          <w:sz w:val="22"/>
          <w:szCs w:val="22"/>
        </w:rPr>
        <w:t xml:space="preserve">Guía para la determinación de la </w:t>
      </w:r>
      <w:r w:rsidR="002137C3">
        <w:rPr>
          <w:rFonts w:ascii="Calibri" w:hAnsi="Calibri" w:cs="Calibri"/>
          <w:i/>
          <w:sz w:val="22"/>
          <w:szCs w:val="22"/>
        </w:rPr>
        <w:t>Regla de Gasto</w:t>
      </w:r>
      <w:r w:rsidRPr="00D94812">
        <w:rPr>
          <w:rFonts w:ascii="Calibri" w:hAnsi="Calibri" w:cs="Calibri"/>
          <w:i/>
          <w:sz w:val="22"/>
          <w:szCs w:val="22"/>
        </w:rPr>
        <w:t xml:space="preserve"> del artículo 12 de la LOEPSF para corporaciones locales, 3ª edición, IGAE.</w:t>
      </w:r>
    </w:p>
    <w:p w:rsidR="00062632" w:rsidRPr="00D94812" w:rsidRDefault="00062632" w:rsidP="00062632">
      <w:pPr>
        <w:ind w:right="-1"/>
        <w:jc w:val="both"/>
        <w:rPr>
          <w:rFonts w:ascii="Calibri" w:hAnsi="Calibri" w:cs="Calibri"/>
          <w:i/>
          <w:sz w:val="22"/>
          <w:szCs w:val="22"/>
        </w:rPr>
      </w:pPr>
    </w:p>
    <w:p w:rsidR="009E2225" w:rsidRDefault="00062632" w:rsidP="00425F88">
      <w:pPr>
        <w:ind w:right="-1" w:firstLine="709"/>
        <w:jc w:val="both"/>
        <w:rPr>
          <w:rFonts w:ascii="Calibri" w:hAnsi="Calibri" w:cs="Calibri"/>
          <w:i/>
          <w:color w:val="0000FF"/>
          <w:sz w:val="22"/>
          <w:szCs w:val="22"/>
        </w:rPr>
      </w:pPr>
      <w:r w:rsidRPr="00425F88">
        <w:rPr>
          <w:rFonts w:ascii="Calibri" w:hAnsi="Calibri" w:cs="Calibri"/>
          <w:b/>
          <w:i/>
          <w:sz w:val="22"/>
          <w:szCs w:val="22"/>
        </w:rPr>
        <w:t>C)</w:t>
      </w:r>
      <w:r w:rsidRPr="00D94812">
        <w:rPr>
          <w:rFonts w:ascii="Calibri" w:hAnsi="Calibri" w:cs="Calibri"/>
          <w:i/>
          <w:sz w:val="22"/>
          <w:szCs w:val="22"/>
        </w:rPr>
        <w:t xml:space="preserve"> </w:t>
      </w:r>
      <w:r w:rsidR="009E2225" w:rsidRPr="00D94812">
        <w:rPr>
          <w:rFonts w:ascii="Calibri" w:hAnsi="Calibri" w:cs="Calibri"/>
          <w:i/>
          <w:sz w:val="22"/>
          <w:szCs w:val="22"/>
        </w:rPr>
        <w:t xml:space="preserve">En la pág. web del SAM, junto a este modelo de informe, existe un </w:t>
      </w:r>
      <w:r w:rsidR="009E2225" w:rsidRPr="00D94812">
        <w:rPr>
          <w:rFonts w:ascii="Calibri" w:hAnsi="Calibri" w:cs="Calibri"/>
          <w:i/>
          <w:color w:val="0000FF"/>
          <w:sz w:val="22"/>
          <w:szCs w:val="22"/>
        </w:rPr>
        <w:t>archivo Excel para efectuar los diferentes cálculos de ajustes S</w:t>
      </w:r>
      <w:r w:rsidR="00425F88">
        <w:rPr>
          <w:rFonts w:ascii="Calibri" w:hAnsi="Calibri" w:cs="Calibri"/>
          <w:i/>
          <w:color w:val="0000FF"/>
          <w:sz w:val="22"/>
          <w:szCs w:val="22"/>
        </w:rPr>
        <w:t>EC</w:t>
      </w:r>
      <w:r w:rsidR="009E2225" w:rsidRPr="00D94812">
        <w:rPr>
          <w:rFonts w:ascii="Calibri" w:hAnsi="Calibri" w:cs="Calibri"/>
          <w:i/>
          <w:color w:val="0000FF"/>
          <w:sz w:val="22"/>
          <w:szCs w:val="22"/>
        </w:rPr>
        <w:t xml:space="preserve">, </w:t>
      </w:r>
      <w:r w:rsidR="00425F88">
        <w:rPr>
          <w:rFonts w:ascii="Calibri" w:hAnsi="Calibri" w:cs="Calibri"/>
          <w:i/>
          <w:color w:val="0000FF"/>
          <w:sz w:val="22"/>
          <w:szCs w:val="22"/>
        </w:rPr>
        <w:t>E</w:t>
      </w:r>
      <w:r w:rsidR="009E2225" w:rsidRPr="00D94812">
        <w:rPr>
          <w:rFonts w:ascii="Calibri" w:hAnsi="Calibri" w:cs="Calibri"/>
          <w:i/>
          <w:color w:val="0000FF"/>
          <w:sz w:val="22"/>
          <w:szCs w:val="22"/>
        </w:rPr>
        <w:t xml:space="preserve">stabilidad, </w:t>
      </w:r>
      <w:r w:rsidR="002137C3">
        <w:rPr>
          <w:rFonts w:ascii="Calibri" w:hAnsi="Calibri" w:cs="Calibri"/>
          <w:i/>
          <w:color w:val="0000FF"/>
          <w:sz w:val="22"/>
          <w:szCs w:val="22"/>
        </w:rPr>
        <w:t>Regla de Gasto</w:t>
      </w:r>
      <w:r w:rsidR="00425F88">
        <w:rPr>
          <w:rFonts w:ascii="Calibri" w:hAnsi="Calibri" w:cs="Calibri"/>
          <w:i/>
          <w:color w:val="0000FF"/>
          <w:sz w:val="22"/>
          <w:szCs w:val="22"/>
        </w:rPr>
        <w:t xml:space="preserve"> y </w:t>
      </w:r>
      <w:r w:rsidR="002137C3">
        <w:rPr>
          <w:rFonts w:ascii="Calibri" w:hAnsi="Calibri" w:cs="Calibri"/>
          <w:i/>
          <w:color w:val="0000FF"/>
          <w:sz w:val="22"/>
          <w:szCs w:val="22"/>
        </w:rPr>
        <w:t xml:space="preserve">Deuda </w:t>
      </w:r>
      <w:proofErr w:type="spellStart"/>
      <w:r w:rsidR="002137C3">
        <w:rPr>
          <w:rFonts w:ascii="Calibri" w:hAnsi="Calibri" w:cs="Calibri"/>
          <w:i/>
          <w:color w:val="0000FF"/>
          <w:sz w:val="22"/>
          <w:szCs w:val="22"/>
        </w:rPr>
        <w:t>Pñublica</w:t>
      </w:r>
      <w:proofErr w:type="spellEnd"/>
      <w:r w:rsidR="00425F88">
        <w:rPr>
          <w:rFonts w:ascii="Calibri" w:hAnsi="Calibri" w:cs="Calibri"/>
          <w:i/>
          <w:color w:val="0000FF"/>
          <w:sz w:val="22"/>
          <w:szCs w:val="22"/>
        </w:rPr>
        <w:t>.</w:t>
      </w:r>
    </w:p>
    <w:p w:rsidR="00425F88" w:rsidRPr="00D94812" w:rsidRDefault="00425F88" w:rsidP="00425F88">
      <w:pPr>
        <w:ind w:right="-1" w:firstLine="709"/>
        <w:jc w:val="both"/>
        <w:rPr>
          <w:rFonts w:ascii="Calibri" w:hAnsi="Calibri" w:cs="Calibri"/>
          <w:i/>
          <w:color w:val="0000FF"/>
          <w:sz w:val="22"/>
          <w:szCs w:val="22"/>
        </w:rPr>
      </w:pPr>
    </w:p>
    <w:p w:rsidR="009E2225" w:rsidRPr="00D94812" w:rsidRDefault="009E2225" w:rsidP="00425F88">
      <w:pPr>
        <w:ind w:right="-1" w:firstLine="709"/>
        <w:jc w:val="both"/>
        <w:rPr>
          <w:rFonts w:ascii="Calibri" w:hAnsi="Calibri" w:cs="Calibri"/>
          <w:i/>
          <w:sz w:val="22"/>
          <w:szCs w:val="22"/>
        </w:rPr>
      </w:pPr>
      <w:r w:rsidRPr="00D94812">
        <w:rPr>
          <w:rFonts w:ascii="Calibri" w:hAnsi="Calibri" w:cs="Calibri"/>
          <w:i/>
          <w:sz w:val="22"/>
          <w:szCs w:val="22"/>
        </w:rPr>
        <w:t xml:space="preserve">Las tablas que se incluyen en este modelo  para realizar dichos cálculos, </w:t>
      </w:r>
      <w:r w:rsidR="00836FD1" w:rsidRPr="00D94812">
        <w:rPr>
          <w:rFonts w:ascii="Calibri" w:hAnsi="Calibri" w:cs="Calibri"/>
          <w:i/>
          <w:sz w:val="22"/>
          <w:szCs w:val="22"/>
        </w:rPr>
        <w:t>son a modo de ejemplo, no contienen fó</w:t>
      </w:r>
      <w:r w:rsidRPr="00D94812">
        <w:rPr>
          <w:rFonts w:ascii="Calibri" w:hAnsi="Calibri" w:cs="Calibri"/>
          <w:i/>
          <w:sz w:val="22"/>
          <w:szCs w:val="22"/>
        </w:rPr>
        <w:t xml:space="preserve">rmulas. Por ello, </w:t>
      </w:r>
      <w:r w:rsidR="00836FD1" w:rsidRPr="00D94812">
        <w:rPr>
          <w:rFonts w:ascii="Calibri" w:hAnsi="Calibri" w:cs="Calibri"/>
          <w:i/>
          <w:sz w:val="22"/>
          <w:szCs w:val="22"/>
        </w:rPr>
        <w:t>debéis  acudir a la EXCEL y realizar los cálculos. U</w:t>
      </w:r>
      <w:r w:rsidRPr="00D94812">
        <w:rPr>
          <w:rFonts w:ascii="Calibri" w:hAnsi="Calibri" w:cs="Calibri"/>
          <w:i/>
          <w:sz w:val="22"/>
          <w:szCs w:val="22"/>
        </w:rPr>
        <w:t>na vez cumplimentada la Excel, basta con seleccionar y copiar el correspondiente cálculo, y pegarlo en el informe.</w:t>
      </w:r>
    </w:p>
    <w:p w:rsidR="00062632" w:rsidRPr="00D94812" w:rsidRDefault="00062632" w:rsidP="00062632">
      <w:pPr>
        <w:pStyle w:val="Default"/>
        <w:ind w:right="-1"/>
        <w:jc w:val="both"/>
        <w:rPr>
          <w:rFonts w:ascii="Calibri" w:hAnsi="Calibri" w:cs="Calibri"/>
          <w:i/>
          <w:color w:val="auto"/>
          <w:sz w:val="22"/>
          <w:szCs w:val="22"/>
        </w:rPr>
      </w:pPr>
    </w:p>
    <w:p w:rsidR="00062632" w:rsidRPr="00D94812" w:rsidRDefault="00062632" w:rsidP="00425F88">
      <w:pPr>
        <w:pStyle w:val="Default"/>
        <w:ind w:right="-1" w:firstLine="709"/>
        <w:jc w:val="both"/>
        <w:rPr>
          <w:rFonts w:ascii="Calibri" w:hAnsi="Calibri" w:cs="Calibri"/>
          <w:i/>
          <w:color w:val="auto"/>
          <w:sz w:val="22"/>
          <w:szCs w:val="22"/>
        </w:rPr>
      </w:pPr>
      <w:r w:rsidRPr="00425F88">
        <w:rPr>
          <w:rFonts w:ascii="Calibri" w:hAnsi="Calibri" w:cs="Calibri"/>
          <w:b/>
          <w:i/>
          <w:color w:val="auto"/>
          <w:sz w:val="22"/>
          <w:szCs w:val="22"/>
        </w:rPr>
        <w:t>D)</w:t>
      </w:r>
      <w:r w:rsidRPr="00D94812">
        <w:rPr>
          <w:rFonts w:ascii="Calibri" w:hAnsi="Calibri" w:cs="Calibri"/>
          <w:i/>
          <w:color w:val="auto"/>
          <w:sz w:val="22"/>
          <w:szCs w:val="22"/>
        </w:rPr>
        <w:t xml:space="preserve"> Se recuerda que una vez cumplimentado el modelo y antes de proceder a su impresión, se deben </w:t>
      </w:r>
      <w:r w:rsidRPr="00D94812">
        <w:rPr>
          <w:rFonts w:ascii="Calibri" w:hAnsi="Calibri" w:cs="Calibri"/>
          <w:i/>
          <w:color w:val="0000FF"/>
          <w:sz w:val="22"/>
          <w:szCs w:val="22"/>
        </w:rPr>
        <w:t>eliminar las notas sombreadas en gris, así como suprimir el logotipo de la diputación</w:t>
      </w:r>
      <w:r w:rsidRPr="00D94812">
        <w:rPr>
          <w:rFonts w:ascii="Calibri" w:hAnsi="Calibri" w:cs="Calibri"/>
          <w:i/>
          <w:color w:val="auto"/>
          <w:sz w:val="22"/>
          <w:szCs w:val="22"/>
        </w:rPr>
        <w:t>.</w:t>
      </w:r>
    </w:p>
    <w:p w:rsidR="00062632" w:rsidRDefault="00062632" w:rsidP="00062632">
      <w:pPr>
        <w:pStyle w:val="Default"/>
        <w:ind w:right="-1"/>
        <w:jc w:val="both"/>
        <w:rPr>
          <w:sz w:val="22"/>
          <w:szCs w:val="22"/>
        </w:rPr>
      </w:pPr>
    </w:p>
    <w:p w:rsidR="00062632" w:rsidRDefault="00062632" w:rsidP="00062632">
      <w:pPr>
        <w:pStyle w:val="Default"/>
        <w:ind w:right="-1"/>
        <w:jc w:val="both"/>
        <w:rPr>
          <w:sz w:val="22"/>
          <w:szCs w:val="22"/>
        </w:rPr>
      </w:pPr>
    </w:p>
    <w:p w:rsidR="00D94812" w:rsidRDefault="00D94812" w:rsidP="00062632">
      <w:pPr>
        <w:pStyle w:val="Default"/>
        <w:ind w:right="-1"/>
        <w:jc w:val="both"/>
        <w:rPr>
          <w:sz w:val="22"/>
          <w:szCs w:val="22"/>
        </w:rPr>
      </w:pPr>
    </w:p>
    <w:p w:rsidR="00872E2D" w:rsidRDefault="00872E2D" w:rsidP="00062632">
      <w:pPr>
        <w:pStyle w:val="Default"/>
        <w:ind w:right="-1"/>
        <w:jc w:val="both"/>
        <w:rPr>
          <w:sz w:val="22"/>
          <w:szCs w:val="22"/>
        </w:rPr>
      </w:pPr>
    </w:p>
    <w:p w:rsidR="00872E2D" w:rsidRDefault="00872E2D" w:rsidP="00062632">
      <w:pPr>
        <w:pStyle w:val="Default"/>
        <w:ind w:right="-1"/>
        <w:jc w:val="both"/>
        <w:rPr>
          <w:sz w:val="22"/>
          <w:szCs w:val="22"/>
        </w:rPr>
      </w:pPr>
    </w:p>
    <w:p w:rsidR="00062632" w:rsidRDefault="00062632" w:rsidP="00062632">
      <w:pPr>
        <w:pStyle w:val="Default"/>
        <w:ind w:right="-1"/>
        <w:jc w:val="both"/>
        <w:rPr>
          <w:sz w:val="22"/>
          <w:szCs w:val="22"/>
        </w:rPr>
      </w:pPr>
    </w:p>
    <w:p w:rsidR="003C624A" w:rsidRDefault="003C624A" w:rsidP="003346CA">
      <w:pPr>
        <w:ind w:right="-1"/>
        <w:jc w:val="both"/>
        <w:rPr>
          <w:rFonts w:ascii="Calibri" w:hAnsi="Calibri" w:cs="Calibri"/>
          <w:b/>
          <w:color w:val="0000FF"/>
        </w:rPr>
      </w:pPr>
    </w:p>
    <w:p w:rsidR="003C624A" w:rsidRDefault="003C624A" w:rsidP="003346CA">
      <w:pPr>
        <w:ind w:right="-1"/>
        <w:jc w:val="both"/>
        <w:rPr>
          <w:rFonts w:ascii="Calibri" w:hAnsi="Calibri" w:cs="Calibri"/>
          <w:b/>
          <w:color w:val="0000FF"/>
        </w:rPr>
      </w:pPr>
    </w:p>
    <w:p w:rsidR="003C624A" w:rsidRPr="009001A9" w:rsidRDefault="003C624A" w:rsidP="003C624A">
      <w:pPr>
        <w:spacing w:before="360" w:after="360"/>
        <w:jc w:val="center"/>
        <w:rPr>
          <w:rFonts w:asciiTheme="minorHAnsi" w:eastAsia="Verdana" w:hAnsiTheme="minorHAnsi" w:cstheme="minorHAnsi"/>
          <w:b/>
          <w:caps/>
          <w:sz w:val="22"/>
          <w:szCs w:val="22"/>
        </w:rPr>
      </w:pPr>
      <w:r w:rsidRPr="00840F94">
        <w:rPr>
          <w:rFonts w:asciiTheme="minorHAnsi" w:eastAsia="Verdana" w:hAnsiTheme="minorHAnsi" w:cstheme="minorHAnsi"/>
          <w:b/>
          <w:caps/>
          <w:sz w:val="22"/>
          <w:szCs w:val="22"/>
        </w:rPr>
        <w:t xml:space="preserve">informe sobre la </w:t>
      </w:r>
      <w:r w:rsidR="002137C3">
        <w:rPr>
          <w:rFonts w:asciiTheme="minorHAnsi" w:eastAsia="Verdana" w:hAnsiTheme="minorHAnsi" w:cstheme="minorHAnsi"/>
          <w:b/>
          <w:caps/>
          <w:sz w:val="22"/>
          <w:szCs w:val="22"/>
        </w:rPr>
        <w:t>Estabilidad Presupuestaria</w:t>
      </w:r>
      <w:r w:rsidR="001E2FED" w:rsidRPr="00840F94">
        <w:rPr>
          <w:rFonts w:asciiTheme="minorHAnsi" w:eastAsia="Verdana" w:hAnsiTheme="minorHAnsi" w:cstheme="minorHAnsi"/>
          <w:b/>
          <w:caps/>
          <w:sz w:val="22"/>
          <w:szCs w:val="22"/>
        </w:rPr>
        <w:t xml:space="preserve">, </w:t>
      </w:r>
      <w:r w:rsidR="002137C3">
        <w:rPr>
          <w:rFonts w:asciiTheme="minorHAnsi" w:eastAsia="Verdana" w:hAnsiTheme="minorHAnsi" w:cstheme="minorHAnsi"/>
          <w:b/>
          <w:caps/>
          <w:sz w:val="22"/>
          <w:szCs w:val="22"/>
        </w:rPr>
        <w:t>Regla de Gasto</w:t>
      </w:r>
      <w:r w:rsidR="001E2FED" w:rsidRPr="00840F94">
        <w:rPr>
          <w:rFonts w:asciiTheme="minorHAnsi" w:eastAsia="Verdana" w:hAnsiTheme="minorHAnsi" w:cstheme="minorHAnsi"/>
          <w:b/>
          <w:caps/>
          <w:sz w:val="22"/>
          <w:szCs w:val="22"/>
        </w:rPr>
        <w:t xml:space="preserve"> y nível de deuda con </w:t>
      </w:r>
      <w:r w:rsidR="001E2FED" w:rsidRPr="009001A9">
        <w:rPr>
          <w:rFonts w:asciiTheme="minorHAnsi" w:eastAsia="Verdana" w:hAnsiTheme="minorHAnsi" w:cstheme="minorHAnsi"/>
          <w:b/>
          <w:caps/>
          <w:sz w:val="22"/>
          <w:szCs w:val="22"/>
        </w:rPr>
        <w:t xml:space="preserve">motivo de la </w:t>
      </w:r>
      <w:r w:rsidR="00840F94" w:rsidRPr="009001A9">
        <w:rPr>
          <w:rFonts w:asciiTheme="minorHAnsi" w:hAnsiTheme="minorHAnsi" w:cstheme="minorHAnsi"/>
          <w:b/>
          <w:color w:val="0000FF"/>
          <w:sz w:val="22"/>
          <w:szCs w:val="22"/>
        </w:rPr>
        <w:t>LIQUIDACIÓN DEL PRESUPUESTO DE</w:t>
      </w:r>
      <w:r w:rsidR="001E2FED" w:rsidRPr="009001A9">
        <w:rPr>
          <w:rFonts w:asciiTheme="minorHAnsi" w:eastAsia="Verdana" w:hAnsiTheme="minorHAnsi" w:cstheme="minorHAnsi"/>
          <w:b/>
          <w:caps/>
          <w:sz w:val="22"/>
          <w:szCs w:val="22"/>
        </w:rPr>
        <w:t xml:space="preserve"> </w:t>
      </w:r>
      <w:r w:rsidR="001E2FED" w:rsidRPr="009001A9">
        <w:rPr>
          <w:rFonts w:asciiTheme="minorHAnsi" w:hAnsiTheme="minorHAnsi" w:cstheme="minorHAnsi"/>
          <w:b/>
          <w:color w:val="0000FF"/>
          <w:sz w:val="22"/>
          <w:szCs w:val="22"/>
        </w:rPr>
        <w:t>2023</w:t>
      </w:r>
    </w:p>
    <w:p w:rsidR="009001A9" w:rsidRPr="009001A9" w:rsidRDefault="003346CA" w:rsidP="009001A9">
      <w:pPr>
        <w:ind w:right="-1"/>
        <w:jc w:val="both"/>
        <w:rPr>
          <w:rFonts w:asciiTheme="minorHAnsi" w:hAnsiTheme="minorHAnsi" w:cstheme="minorHAnsi"/>
          <w:b/>
          <w:color w:val="0000FF"/>
          <w:sz w:val="22"/>
          <w:szCs w:val="22"/>
        </w:rPr>
      </w:pPr>
      <w:r w:rsidRPr="009001A9">
        <w:rPr>
          <w:rFonts w:asciiTheme="minorHAnsi" w:hAnsiTheme="minorHAnsi" w:cstheme="minorHAnsi"/>
          <w:b/>
          <w:color w:val="0000FF"/>
          <w:sz w:val="22"/>
          <w:szCs w:val="22"/>
        </w:rPr>
        <w:tab/>
      </w:r>
      <w:r w:rsidR="009001A9" w:rsidRPr="009001A9">
        <w:rPr>
          <w:rFonts w:asciiTheme="minorHAnsi" w:hAnsiTheme="minorHAnsi" w:cstheme="minorHAnsi"/>
          <w:sz w:val="22"/>
          <w:szCs w:val="22"/>
        </w:rPr>
        <w:t xml:space="preserve">Esta Secretaría-Intervención/Intervención, </w:t>
      </w:r>
      <w:r w:rsidR="009001A9" w:rsidRPr="009001A9">
        <w:rPr>
          <w:rFonts w:asciiTheme="minorHAnsi" w:eastAsia="Verdana" w:hAnsiTheme="minorHAnsi" w:cstheme="minorHAnsi"/>
          <w:sz w:val="22"/>
          <w:szCs w:val="22"/>
        </w:rPr>
        <w:t xml:space="preserve">en atención a las facultades recogidas en el artículo 4.1.b) 6º del Real Decreto 128/2018, de 16 de marzo, por el que se regula el Régimen Jurídico de los Funcionarios de Administración Local con habilitación de carácter nacional, </w:t>
      </w:r>
      <w:r w:rsidR="009001A9" w:rsidRPr="009001A9">
        <w:rPr>
          <w:rFonts w:asciiTheme="minorHAnsi" w:eastAsia="Verdana" w:hAnsiTheme="minorHAnsi" w:cstheme="minorHAnsi"/>
          <w:sz w:val="22"/>
          <w:szCs w:val="22"/>
        </w:rPr>
        <w:t xml:space="preserve">y </w:t>
      </w:r>
      <w:r w:rsidR="00DF33D1" w:rsidRPr="009001A9">
        <w:rPr>
          <w:rFonts w:asciiTheme="minorHAnsi" w:hAnsiTheme="minorHAnsi" w:cstheme="minorHAnsi"/>
          <w:sz w:val="22"/>
          <w:szCs w:val="22"/>
        </w:rPr>
        <w:t>en cumplimiento del artículo 16 del Real Decreto 1463/2007, de 2 de novie</w:t>
      </w:r>
      <w:r w:rsidR="009001A9" w:rsidRPr="009001A9">
        <w:rPr>
          <w:rFonts w:asciiTheme="minorHAnsi" w:hAnsiTheme="minorHAnsi" w:cstheme="minorHAnsi"/>
          <w:sz w:val="22"/>
          <w:szCs w:val="22"/>
        </w:rPr>
        <w:t>mbre, por el que se aprueba el R</w:t>
      </w:r>
      <w:r w:rsidR="00DF33D1" w:rsidRPr="009001A9">
        <w:rPr>
          <w:rFonts w:asciiTheme="minorHAnsi" w:hAnsiTheme="minorHAnsi" w:cstheme="minorHAnsi"/>
          <w:sz w:val="22"/>
          <w:szCs w:val="22"/>
        </w:rPr>
        <w:t xml:space="preserve">eglamento de la Ley de </w:t>
      </w:r>
      <w:r w:rsidR="002137C3" w:rsidRPr="009001A9">
        <w:rPr>
          <w:rFonts w:asciiTheme="minorHAnsi" w:hAnsiTheme="minorHAnsi" w:cstheme="minorHAnsi"/>
          <w:sz w:val="22"/>
          <w:szCs w:val="22"/>
        </w:rPr>
        <w:t>Estabilidad Presupuestaria</w:t>
      </w:r>
      <w:r w:rsidR="00DF33D1" w:rsidRPr="009001A9">
        <w:rPr>
          <w:rFonts w:asciiTheme="minorHAnsi" w:hAnsiTheme="minorHAnsi" w:cstheme="minorHAnsi"/>
          <w:sz w:val="22"/>
          <w:szCs w:val="22"/>
        </w:rPr>
        <w:t xml:space="preserve"> en su aplicación a las Entidades Locales, así como de lo dispuesto e</w:t>
      </w:r>
      <w:bookmarkStart w:id="1" w:name="_GoBack"/>
      <w:bookmarkEnd w:id="1"/>
      <w:r w:rsidR="00DF33D1" w:rsidRPr="009001A9">
        <w:rPr>
          <w:rFonts w:asciiTheme="minorHAnsi" w:hAnsiTheme="minorHAnsi" w:cstheme="minorHAnsi"/>
          <w:sz w:val="22"/>
          <w:szCs w:val="22"/>
        </w:rPr>
        <w:t xml:space="preserve">n la Ley Orgánica 2/2012, de 27 de abril, de </w:t>
      </w:r>
      <w:r w:rsidR="002137C3" w:rsidRPr="009001A9">
        <w:rPr>
          <w:rFonts w:asciiTheme="minorHAnsi" w:hAnsiTheme="minorHAnsi" w:cstheme="minorHAnsi"/>
          <w:sz w:val="22"/>
          <w:szCs w:val="22"/>
        </w:rPr>
        <w:t>Estabilidad Presupuestaria</w:t>
      </w:r>
      <w:r w:rsidR="009001A9" w:rsidRPr="009001A9">
        <w:rPr>
          <w:rFonts w:asciiTheme="minorHAnsi" w:hAnsiTheme="minorHAnsi" w:cstheme="minorHAnsi"/>
          <w:sz w:val="22"/>
          <w:szCs w:val="22"/>
        </w:rPr>
        <w:t xml:space="preserve"> y Sostenibilidad Financiera</w:t>
      </w:r>
      <w:r w:rsidR="00DF33D1" w:rsidRPr="009001A9">
        <w:rPr>
          <w:rFonts w:asciiTheme="minorHAnsi" w:hAnsiTheme="minorHAnsi" w:cstheme="minorHAnsi"/>
          <w:sz w:val="22"/>
          <w:szCs w:val="22"/>
        </w:rPr>
        <w:t xml:space="preserve">, </w:t>
      </w:r>
      <w:r w:rsidR="009001A9" w:rsidRPr="009001A9">
        <w:rPr>
          <w:rFonts w:asciiTheme="minorHAnsi" w:hAnsiTheme="minorHAnsi" w:cstheme="minorHAnsi"/>
          <w:sz w:val="22"/>
          <w:szCs w:val="22"/>
        </w:rPr>
        <w:t>en relación con la evaluación de  Estabilidad Presupuestaria, Regla de Gasto y Nivel de Deuda con motivo de la</w:t>
      </w:r>
      <w:r w:rsidR="009001A9" w:rsidRPr="009001A9">
        <w:rPr>
          <w:rFonts w:asciiTheme="minorHAnsi" w:hAnsiTheme="minorHAnsi" w:cstheme="minorHAnsi"/>
          <w:color w:val="0000FF"/>
          <w:sz w:val="22"/>
          <w:szCs w:val="22"/>
        </w:rPr>
        <w:t xml:space="preserve"> L</w:t>
      </w:r>
      <w:r w:rsidR="009001A9" w:rsidRPr="009001A9">
        <w:rPr>
          <w:rFonts w:asciiTheme="minorHAnsi" w:hAnsiTheme="minorHAnsi" w:cstheme="minorHAnsi"/>
          <w:color w:val="0000FF"/>
          <w:sz w:val="22"/>
          <w:szCs w:val="22"/>
        </w:rPr>
        <w:t>iquidación del Presupuesto  G</w:t>
      </w:r>
      <w:r w:rsidR="009001A9" w:rsidRPr="009001A9">
        <w:rPr>
          <w:rFonts w:asciiTheme="minorHAnsi" w:hAnsiTheme="minorHAnsi" w:cstheme="minorHAnsi"/>
          <w:color w:val="0000FF"/>
          <w:sz w:val="22"/>
          <w:szCs w:val="22"/>
        </w:rPr>
        <w:t>eneral del E</w:t>
      </w:r>
      <w:r w:rsidR="009001A9" w:rsidRPr="009001A9">
        <w:rPr>
          <w:rFonts w:asciiTheme="minorHAnsi" w:hAnsiTheme="minorHAnsi" w:cstheme="minorHAnsi"/>
          <w:color w:val="0000FF"/>
          <w:sz w:val="22"/>
          <w:szCs w:val="22"/>
        </w:rPr>
        <w:t>jercicio 2023.</w:t>
      </w:r>
      <w:r w:rsidR="009001A9" w:rsidRPr="009001A9">
        <w:rPr>
          <w:rFonts w:asciiTheme="minorHAnsi" w:hAnsiTheme="minorHAnsi" w:cstheme="minorHAnsi"/>
          <w:color w:val="0000FF"/>
          <w:sz w:val="22"/>
          <w:szCs w:val="22"/>
        </w:rPr>
        <w:t xml:space="preserve"> </w:t>
      </w:r>
      <w:r w:rsidR="009001A9" w:rsidRPr="009001A9">
        <w:rPr>
          <w:rFonts w:asciiTheme="minorHAnsi" w:hAnsiTheme="minorHAnsi" w:cstheme="minorHAnsi"/>
          <w:sz w:val="22"/>
          <w:szCs w:val="22"/>
        </w:rPr>
        <w:t xml:space="preserve">emite el siguiente </w:t>
      </w:r>
      <w:r w:rsidR="009001A9" w:rsidRPr="009001A9">
        <w:rPr>
          <w:rFonts w:asciiTheme="minorHAnsi" w:hAnsiTheme="minorHAnsi" w:cstheme="minorHAnsi"/>
          <w:b/>
          <w:sz w:val="22"/>
          <w:szCs w:val="22"/>
        </w:rPr>
        <w:t>INFORME:</w:t>
      </w:r>
    </w:p>
    <w:p w:rsidR="00DF33D1" w:rsidRPr="00840F94" w:rsidRDefault="00DF33D1" w:rsidP="003346CA">
      <w:pPr>
        <w:ind w:right="-1"/>
        <w:jc w:val="both"/>
        <w:rPr>
          <w:rFonts w:asciiTheme="minorHAnsi" w:hAnsiTheme="minorHAnsi" w:cstheme="minorHAnsi"/>
          <w:color w:val="0000FF"/>
          <w:sz w:val="22"/>
          <w:szCs w:val="22"/>
        </w:rPr>
      </w:pPr>
    </w:p>
    <w:p w:rsidR="00DF33D1" w:rsidRPr="005130D6" w:rsidRDefault="005130D6" w:rsidP="001869D9">
      <w:pPr>
        <w:spacing w:after="120"/>
        <w:ind w:firstLine="709"/>
        <w:jc w:val="both"/>
        <w:rPr>
          <w:rFonts w:ascii="Calibri" w:hAnsi="Calibri" w:cs="Calibri"/>
          <w:b/>
          <w:sz w:val="22"/>
          <w:szCs w:val="22"/>
        </w:rPr>
      </w:pPr>
      <w:r w:rsidRPr="005130D6">
        <w:rPr>
          <w:rFonts w:ascii="Calibri" w:hAnsi="Calibri" w:cs="Calibri"/>
          <w:b/>
          <w:sz w:val="22"/>
          <w:szCs w:val="22"/>
        </w:rPr>
        <w:t>1</w:t>
      </w:r>
      <w:r w:rsidR="00DF33D1" w:rsidRPr="005130D6">
        <w:rPr>
          <w:rFonts w:ascii="Calibri" w:hAnsi="Calibri" w:cs="Calibri"/>
          <w:b/>
          <w:sz w:val="22"/>
          <w:szCs w:val="22"/>
        </w:rPr>
        <w:t>.- SUSPENSION DE LAS REGLAS FISCALES</w:t>
      </w:r>
    </w:p>
    <w:p w:rsidR="00A7433A" w:rsidRPr="00A7433A" w:rsidRDefault="00A7433A" w:rsidP="00A7433A">
      <w:pPr>
        <w:spacing w:after="120"/>
        <w:ind w:firstLine="709"/>
        <w:jc w:val="both"/>
        <w:rPr>
          <w:rFonts w:ascii="Calibri" w:hAnsi="Calibri" w:cs="Calibri"/>
          <w:sz w:val="22"/>
          <w:szCs w:val="22"/>
        </w:rPr>
      </w:pPr>
      <w:r w:rsidRPr="00A7433A">
        <w:rPr>
          <w:rFonts w:ascii="Calibri" w:hAnsi="Calibri" w:cs="Calibri"/>
          <w:sz w:val="22"/>
          <w:szCs w:val="22"/>
        </w:rPr>
        <w:t xml:space="preserve">La LOEPSF establece entre sus objetivos garantizar la </w:t>
      </w:r>
      <w:r w:rsidR="002137C3">
        <w:rPr>
          <w:rFonts w:ascii="Calibri" w:hAnsi="Calibri" w:cs="Calibri"/>
          <w:sz w:val="22"/>
          <w:szCs w:val="22"/>
        </w:rPr>
        <w:t>Estabilidad Presupuestaria</w:t>
      </w:r>
      <w:r w:rsidRPr="00A7433A">
        <w:rPr>
          <w:rFonts w:ascii="Calibri" w:hAnsi="Calibri" w:cs="Calibri"/>
          <w:sz w:val="22"/>
          <w:szCs w:val="22"/>
        </w:rPr>
        <w:t xml:space="preserve"> y sostenibilidad financiera de todas las Administraciones Públicas.</w:t>
      </w:r>
    </w:p>
    <w:p w:rsidR="00A7433A" w:rsidRPr="00A7433A" w:rsidRDefault="00A7433A" w:rsidP="00A7433A">
      <w:pPr>
        <w:spacing w:after="120"/>
        <w:ind w:firstLine="709"/>
        <w:jc w:val="both"/>
        <w:rPr>
          <w:rFonts w:ascii="Calibri" w:hAnsi="Calibri" w:cs="Calibri"/>
          <w:sz w:val="22"/>
          <w:szCs w:val="22"/>
        </w:rPr>
      </w:pPr>
      <w:r w:rsidRPr="00A7433A">
        <w:rPr>
          <w:rFonts w:ascii="Calibri" w:hAnsi="Calibri" w:cs="Calibri"/>
          <w:sz w:val="22"/>
          <w:szCs w:val="22"/>
        </w:rPr>
        <w:t xml:space="preserve">Por ello la aprobación y liquidación de los Presupuestos de las Entidades Locales deben realizarse bajo el cumplimiento de las llamadas tres reglas fiscales: la </w:t>
      </w:r>
      <w:r w:rsidR="002137C3">
        <w:rPr>
          <w:rFonts w:ascii="Calibri" w:hAnsi="Calibri" w:cs="Calibri"/>
          <w:sz w:val="22"/>
          <w:szCs w:val="22"/>
        </w:rPr>
        <w:t>Estabilidad Presupuestaria</w:t>
      </w:r>
      <w:r w:rsidRPr="00A7433A">
        <w:rPr>
          <w:rFonts w:ascii="Calibri" w:hAnsi="Calibri" w:cs="Calibri"/>
          <w:sz w:val="22"/>
          <w:szCs w:val="22"/>
        </w:rPr>
        <w:t xml:space="preserve">, la regla del gasto y la </w:t>
      </w:r>
      <w:r w:rsidR="002137C3">
        <w:rPr>
          <w:rFonts w:ascii="Calibri" w:hAnsi="Calibri" w:cs="Calibri"/>
          <w:sz w:val="22"/>
          <w:szCs w:val="22"/>
        </w:rPr>
        <w:t xml:space="preserve">Deuda </w:t>
      </w:r>
      <w:proofErr w:type="spellStart"/>
      <w:r w:rsidR="002137C3">
        <w:rPr>
          <w:rFonts w:ascii="Calibri" w:hAnsi="Calibri" w:cs="Calibri"/>
          <w:sz w:val="22"/>
          <w:szCs w:val="22"/>
        </w:rPr>
        <w:t>Pñublica</w:t>
      </w:r>
      <w:proofErr w:type="spellEnd"/>
      <w:r w:rsidRPr="00A7433A">
        <w:rPr>
          <w:rFonts w:ascii="Calibri" w:hAnsi="Calibri" w:cs="Calibri"/>
          <w:sz w:val="22"/>
          <w:szCs w:val="22"/>
        </w:rPr>
        <w:t>.</w:t>
      </w:r>
    </w:p>
    <w:p w:rsidR="00A7433A" w:rsidRPr="00A7433A" w:rsidRDefault="00A7433A" w:rsidP="00A7433A">
      <w:pPr>
        <w:spacing w:after="120"/>
        <w:ind w:firstLine="709"/>
        <w:jc w:val="both"/>
        <w:rPr>
          <w:rFonts w:ascii="Calibri" w:hAnsi="Calibri" w:cs="Calibri"/>
          <w:sz w:val="22"/>
          <w:szCs w:val="22"/>
        </w:rPr>
      </w:pPr>
      <w:bookmarkStart w:id="2" w:name="_Hlk159244328"/>
      <w:r w:rsidRPr="00A7433A">
        <w:rPr>
          <w:rFonts w:ascii="Calibri" w:hAnsi="Calibri" w:cs="Calibri"/>
          <w:sz w:val="22"/>
          <w:szCs w:val="22"/>
        </w:rPr>
        <w:t>Es preciso recordar que la Comisión Europea decidió aplicar la cláusula general de salvaguarda del Pacto de Estabilidad y Crecimiento en 2020 (prorrogada para el ejercicio 2021 y 2022), considerando que se cumplían las condiciones para mantenerla en vigor también para el año 2023, por lo que el Consejo de Ministros del pasado 26 de julio acordó el mantenimiento de la suspensión de las reglas fiscales.</w:t>
      </w:r>
    </w:p>
    <w:bookmarkEnd w:id="2"/>
    <w:p w:rsidR="00A7433A" w:rsidRPr="00A7433A" w:rsidRDefault="00A7433A" w:rsidP="00A7433A">
      <w:pPr>
        <w:spacing w:after="120"/>
        <w:ind w:firstLine="709"/>
        <w:jc w:val="both"/>
        <w:rPr>
          <w:rFonts w:ascii="Calibri" w:hAnsi="Calibri" w:cs="Calibri"/>
          <w:sz w:val="22"/>
          <w:szCs w:val="22"/>
        </w:rPr>
      </w:pPr>
      <w:r w:rsidRPr="00A7433A">
        <w:rPr>
          <w:rFonts w:ascii="Calibri" w:hAnsi="Calibri" w:cs="Calibri"/>
          <w:sz w:val="22"/>
          <w:szCs w:val="22"/>
        </w:rPr>
        <w:t xml:space="preserve">Dicha decisión fue ratificada por el Congreso de los Diputados el 22 de septiembre de 2022, considerando que en España </w:t>
      </w:r>
      <w:r>
        <w:rPr>
          <w:rFonts w:ascii="Calibri" w:hAnsi="Calibri" w:cs="Calibri"/>
          <w:sz w:val="22"/>
          <w:szCs w:val="22"/>
        </w:rPr>
        <w:t>permanecían</w:t>
      </w:r>
      <w:r w:rsidRPr="00A7433A">
        <w:rPr>
          <w:rFonts w:ascii="Calibri" w:hAnsi="Calibri" w:cs="Calibri"/>
          <w:sz w:val="22"/>
          <w:szCs w:val="22"/>
        </w:rPr>
        <w:t xml:space="preserve"> las condiciones de excepcionalidad que justifican mantener suspendidas las reglas fiscales en 2023. De este modo, con la apreciación adoptada por la mayoría absoluta del Congreso y con efectividad desde el mismo día en que se tomó el acuerdo, se mantuvieron suspendidos durante el ejercicio 2023, los objetivos de estabilidad y deuda, así como la </w:t>
      </w:r>
      <w:r w:rsidR="002137C3">
        <w:rPr>
          <w:rFonts w:ascii="Calibri" w:hAnsi="Calibri" w:cs="Calibri"/>
          <w:sz w:val="22"/>
          <w:szCs w:val="22"/>
        </w:rPr>
        <w:t>Regla de Gasto</w:t>
      </w:r>
      <w:r w:rsidRPr="00A7433A">
        <w:rPr>
          <w:rFonts w:ascii="Calibri" w:hAnsi="Calibri" w:cs="Calibri"/>
          <w:sz w:val="22"/>
          <w:szCs w:val="22"/>
        </w:rPr>
        <w:t>.</w:t>
      </w:r>
    </w:p>
    <w:p w:rsidR="005130D6" w:rsidRPr="00350FD7" w:rsidRDefault="006815F7" w:rsidP="005130D6">
      <w:pPr>
        <w:spacing w:after="120"/>
        <w:jc w:val="both"/>
        <w:rPr>
          <w:rFonts w:ascii="Calibri" w:hAnsi="Calibri" w:cs="Calibri"/>
          <w:sz w:val="22"/>
          <w:szCs w:val="22"/>
        </w:rPr>
      </w:pPr>
      <w:r w:rsidRPr="00350FD7">
        <w:rPr>
          <w:rFonts w:ascii="Calibri" w:hAnsi="Calibri" w:cs="Calibri"/>
          <w:sz w:val="22"/>
          <w:szCs w:val="22"/>
        </w:rPr>
        <w:tab/>
        <w:t xml:space="preserve">No obstante, la suspensión de las tres reglas fiscales no es óbice para seguir informando sobre la evaluación del principio de </w:t>
      </w:r>
      <w:r w:rsidR="002137C3">
        <w:rPr>
          <w:rFonts w:ascii="Calibri" w:hAnsi="Calibri" w:cs="Calibri"/>
          <w:sz w:val="22"/>
          <w:szCs w:val="22"/>
        </w:rPr>
        <w:t>Estabilidad Presupuestaria</w:t>
      </w:r>
      <w:r w:rsidRPr="00350FD7">
        <w:rPr>
          <w:rFonts w:ascii="Calibri" w:hAnsi="Calibri" w:cs="Calibri"/>
          <w:sz w:val="22"/>
          <w:szCs w:val="22"/>
        </w:rPr>
        <w:t xml:space="preserve"> en términos de capacidad o necesidad de financi</w:t>
      </w:r>
      <w:r w:rsidR="00BF1CFF" w:rsidRPr="00350FD7">
        <w:rPr>
          <w:rFonts w:ascii="Calibri" w:hAnsi="Calibri" w:cs="Calibri"/>
          <w:sz w:val="22"/>
          <w:szCs w:val="22"/>
        </w:rPr>
        <w:t xml:space="preserve">ación conforme al SEC-10, </w:t>
      </w:r>
      <w:r w:rsidR="002137C3">
        <w:rPr>
          <w:rFonts w:ascii="Calibri" w:hAnsi="Calibri" w:cs="Calibri"/>
          <w:sz w:val="22"/>
          <w:szCs w:val="22"/>
        </w:rPr>
        <w:t>Nivel de Deuda</w:t>
      </w:r>
      <w:r w:rsidRPr="00350FD7">
        <w:rPr>
          <w:rFonts w:ascii="Calibri" w:hAnsi="Calibri" w:cs="Calibri"/>
          <w:sz w:val="22"/>
          <w:szCs w:val="22"/>
        </w:rPr>
        <w:t xml:space="preserve"> viva y, respecto a la </w:t>
      </w:r>
      <w:r w:rsidR="002137C3">
        <w:rPr>
          <w:rFonts w:ascii="Calibri" w:hAnsi="Calibri" w:cs="Calibri"/>
          <w:sz w:val="22"/>
          <w:szCs w:val="22"/>
        </w:rPr>
        <w:t>Regla de Gasto</w:t>
      </w:r>
      <w:r w:rsidRPr="00350FD7">
        <w:rPr>
          <w:rFonts w:ascii="Calibri" w:hAnsi="Calibri" w:cs="Calibri"/>
          <w:sz w:val="22"/>
          <w:szCs w:val="22"/>
        </w:rPr>
        <w:t xml:space="preserve">, sobre la </w:t>
      </w:r>
      <w:r w:rsidR="005130D6" w:rsidRPr="00350FD7">
        <w:rPr>
          <w:rFonts w:ascii="Calibri" w:hAnsi="Calibri" w:cs="Calibri"/>
          <w:sz w:val="22"/>
          <w:szCs w:val="22"/>
        </w:rPr>
        <w:t>variación</w:t>
      </w:r>
      <w:r w:rsidRPr="00350FD7">
        <w:rPr>
          <w:rFonts w:ascii="Calibri" w:hAnsi="Calibri" w:cs="Calibri"/>
          <w:sz w:val="22"/>
          <w:szCs w:val="22"/>
        </w:rPr>
        <w:t xml:space="preserve"> de gasto computable </w:t>
      </w:r>
      <w:r w:rsidR="005130D6" w:rsidRPr="00350FD7">
        <w:rPr>
          <w:rFonts w:ascii="Calibri" w:hAnsi="Calibri" w:cs="Calibri"/>
          <w:sz w:val="22"/>
          <w:szCs w:val="22"/>
        </w:rPr>
        <w:t>en el ejercicio 202</w:t>
      </w:r>
      <w:r w:rsidR="000D3A55">
        <w:rPr>
          <w:rFonts w:ascii="Calibri" w:hAnsi="Calibri" w:cs="Calibri"/>
          <w:sz w:val="22"/>
          <w:szCs w:val="22"/>
        </w:rPr>
        <w:t>3 respecto al 2022.</w:t>
      </w:r>
    </w:p>
    <w:p w:rsidR="005130D6" w:rsidRPr="005130D6" w:rsidRDefault="005130D6" w:rsidP="005130D6">
      <w:pPr>
        <w:spacing w:after="120"/>
        <w:jc w:val="both"/>
        <w:rPr>
          <w:rFonts w:ascii="Calibri" w:eastAsia="Calibri" w:hAnsi="Calibri" w:cs="Calibri"/>
          <w:sz w:val="22"/>
          <w:szCs w:val="22"/>
          <w:lang w:eastAsia="en-US"/>
        </w:rPr>
      </w:pPr>
    </w:p>
    <w:p w:rsidR="00062632" w:rsidRDefault="005130D6" w:rsidP="001869D9">
      <w:pPr>
        <w:spacing w:after="120"/>
        <w:ind w:firstLine="709"/>
        <w:jc w:val="both"/>
        <w:rPr>
          <w:rFonts w:ascii="Calibri" w:hAnsi="Calibri" w:cs="Calibri"/>
          <w:b/>
          <w:sz w:val="22"/>
          <w:szCs w:val="22"/>
        </w:rPr>
      </w:pPr>
      <w:r>
        <w:rPr>
          <w:rFonts w:ascii="Calibri" w:hAnsi="Calibri" w:cs="Calibri"/>
          <w:b/>
          <w:sz w:val="22"/>
          <w:szCs w:val="22"/>
        </w:rPr>
        <w:t>2</w:t>
      </w:r>
      <w:r w:rsidR="00062632" w:rsidRPr="0093587C">
        <w:rPr>
          <w:rFonts w:ascii="Calibri" w:hAnsi="Calibri" w:cs="Calibri"/>
          <w:b/>
          <w:sz w:val="22"/>
          <w:szCs w:val="22"/>
        </w:rPr>
        <w:t>.- NORMATIVA APLICABLE</w:t>
      </w:r>
    </w:p>
    <w:p w:rsidR="001869D9" w:rsidRPr="0093587C" w:rsidRDefault="001869D9" w:rsidP="001869D9">
      <w:pPr>
        <w:spacing w:after="120"/>
        <w:ind w:firstLine="709"/>
        <w:jc w:val="both"/>
        <w:rPr>
          <w:rFonts w:ascii="Calibri" w:hAnsi="Calibri" w:cs="Calibri"/>
          <w:sz w:val="22"/>
          <w:szCs w:val="22"/>
        </w:rPr>
      </w:pPr>
      <w:r w:rsidRPr="001869D9">
        <w:rPr>
          <w:rFonts w:ascii="Calibri" w:hAnsi="Calibri" w:cs="Calibri"/>
          <w:sz w:val="22"/>
          <w:szCs w:val="22"/>
        </w:rPr>
        <w:t>La legislación aplicable. Viene esencialmente constituida por la siguiente:</w:t>
      </w:r>
    </w:p>
    <w:p w:rsidR="00062632" w:rsidRPr="0093587C" w:rsidRDefault="00062632" w:rsidP="001869D9">
      <w:pPr>
        <w:numPr>
          <w:ilvl w:val="0"/>
          <w:numId w:val="4"/>
        </w:numPr>
        <w:tabs>
          <w:tab w:val="num" w:pos="720"/>
        </w:tabs>
        <w:spacing w:after="60"/>
        <w:ind w:left="993" w:hanging="284"/>
        <w:jc w:val="both"/>
        <w:rPr>
          <w:rFonts w:ascii="Calibri" w:hAnsi="Calibri" w:cs="Calibri"/>
          <w:sz w:val="22"/>
          <w:szCs w:val="22"/>
        </w:rPr>
      </w:pPr>
      <w:r w:rsidRPr="0093587C">
        <w:rPr>
          <w:rFonts w:ascii="Calibri" w:hAnsi="Calibri" w:cs="Calibri"/>
          <w:sz w:val="22"/>
          <w:szCs w:val="22"/>
        </w:rPr>
        <w:t xml:space="preserve">Ley Orgánica 2/2012, de 27 de abril, de </w:t>
      </w:r>
      <w:r w:rsidR="002137C3">
        <w:rPr>
          <w:rFonts w:ascii="Calibri" w:hAnsi="Calibri" w:cs="Calibri"/>
          <w:sz w:val="22"/>
          <w:szCs w:val="22"/>
        </w:rPr>
        <w:t>Estabilidad Presupuestaria</w:t>
      </w:r>
      <w:r w:rsidRPr="0093587C">
        <w:rPr>
          <w:rFonts w:ascii="Calibri" w:hAnsi="Calibri" w:cs="Calibri"/>
          <w:sz w:val="22"/>
          <w:szCs w:val="22"/>
        </w:rPr>
        <w:t xml:space="preserve"> y Sostenibilidad Financiera (LOEPSF)</w:t>
      </w:r>
    </w:p>
    <w:p w:rsidR="00062632" w:rsidRPr="0093587C" w:rsidRDefault="00062632" w:rsidP="001869D9">
      <w:pPr>
        <w:numPr>
          <w:ilvl w:val="0"/>
          <w:numId w:val="4"/>
        </w:numPr>
        <w:tabs>
          <w:tab w:val="num" w:pos="720"/>
        </w:tabs>
        <w:spacing w:after="60"/>
        <w:ind w:left="993" w:hanging="284"/>
        <w:jc w:val="both"/>
        <w:rPr>
          <w:rFonts w:ascii="Calibri" w:hAnsi="Calibri" w:cs="Calibri"/>
          <w:sz w:val="22"/>
          <w:szCs w:val="22"/>
        </w:rPr>
      </w:pPr>
      <w:r w:rsidRPr="0093587C">
        <w:rPr>
          <w:rFonts w:ascii="Calibri" w:hAnsi="Calibri" w:cs="Calibri"/>
          <w:sz w:val="22"/>
          <w:szCs w:val="22"/>
        </w:rPr>
        <w:t xml:space="preserve">Real </w:t>
      </w:r>
      <w:proofErr w:type="gramStart"/>
      <w:r w:rsidRPr="0093587C">
        <w:rPr>
          <w:rFonts w:ascii="Calibri" w:hAnsi="Calibri" w:cs="Calibri"/>
          <w:sz w:val="22"/>
          <w:szCs w:val="22"/>
        </w:rPr>
        <w:t>Decreto  1463</w:t>
      </w:r>
      <w:proofErr w:type="gramEnd"/>
      <w:r w:rsidRPr="0093587C">
        <w:rPr>
          <w:rFonts w:ascii="Calibri" w:hAnsi="Calibri" w:cs="Calibri"/>
          <w:sz w:val="22"/>
          <w:szCs w:val="22"/>
        </w:rPr>
        <w:t xml:space="preserve">/2007, de  2  de noviembre, por el que se aprueba el Reglamento de desarrollo de la Ley  18/2001, de  12  de diciembre, de </w:t>
      </w:r>
      <w:r w:rsidR="002137C3">
        <w:rPr>
          <w:rFonts w:ascii="Calibri" w:hAnsi="Calibri" w:cs="Calibri"/>
          <w:sz w:val="22"/>
          <w:szCs w:val="22"/>
        </w:rPr>
        <w:t>Estabilidad Presupuestaria</w:t>
      </w:r>
      <w:r w:rsidRPr="0093587C">
        <w:rPr>
          <w:rFonts w:ascii="Calibri" w:hAnsi="Calibri" w:cs="Calibri"/>
          <w:sz w:val="22"/>
          <w:szCs w:val="22"/>
        </w:rPr>
        <w:t>, en su aplicación a las entidades locales (RLEP)</w:t>
      </w:r>
    </w:p>
    <w:p w:rsidR="00062632" w:rsidRPr="0093587C" w:rsidRDefault="00062632" w:rsidP="001869D9">
      <w:pPr>
        <w:numPr>
          <w:ilvl w:val="0"/>
          <w:numId w:val="4"/>
        </w:numPr>
        <w:tabs>
          <w:tab w:val="num" w:pos="720"/>
        </w:tabs>
        <w:spacing w:after="60"/>
        <w:ind w:left="993" w:hanging="284"/>
        <w:jc w:val="both"/>
        <w:rPr>
          <w:rFonts w:ascii="Calibri" w:hAnsi="Calibri" w:cs="Calibri"/>
          <w:sz w:val="22"/>
          <w:szCs w:val="22"/>
        </w:rPr>
      </w:pPr>
      <w:r w:rsidRPr="0093587C">
        <w:rPr>
          <w:rFonts w:ascii="Calibri" w:hAnsi="Calibri" w:cs="Calibri"/>
          <w:sz w:val="22"/>
          <w:szCs w:val="22"/>
        </w:rPr>
        <w:t>Real Decreto Legislativo  2/2004, de  5  de marzo, Texto Refundido de la Ley Reguladora de las Haciendas Locales (TRLRHL)</w:t>
      </w:r>
    </w:p>
    <w:p w:rsidR="00062632" w:rsidRPr="0093587C" w:rsidRDefault="00062632" w:rsidP="001869D9">
      <w:pPr>
        <w:numPr>
          <w:ilvl w:val="0"/>
          <w:numId w:val="4"/>
        </w:numPr>
        <w:tabs>
          <w:tab w:val="num" w:pos="720"/>
        </w:tabs>
        <w:spacing w:after="60"/>
        <w:ind w:left="993" w:hanging="284"/>
        <w:jc w:val="both"/>
        <w:rPr>
          <w:rStyle w:val="af-doc-l-nav-esp"/>
          <w:rFonts w:ascii="Calibri" w:hAnsi="Calibri" w:cs="Calibri"/>
          <w:sz w:val="22"/>
          <w:szCs w:val="22"/>
        </w:rPr>
      </w:pPr>
      <w:r w:rsidRPr="0093587C">
        <w:rPr>
          <w:rStyle w:val="af-doc-l-nav-esp"/>
          <w:rFonts w:ascii="Calibri" w:hAnsi="Calibri" w:cs="Calibri"/>
          <w:sz w:val="22"/>
          <w:szCs w:val="22"/>
        </w:rPr>
        <w:t xml:space="preserve">Orden HAP/2105/2012, de 1 de octubre, por la que se desarrollan las obligaciones de suministro de información previstas en la Ley Orgánica 2/2012, de 27 de abril, de </w:t>
      </w:r>
      <w:r w:rsidR="002137C3">
        <w:rPr>
          <w:rStyle w:val="af-doc-l-nav-esp"/>
          <w:rFonts w:ascii="Calibri" w:hAnsi="Calibri" w:cs="Calibri"/>
          <w:sz w:val="22"/>
          <w:szCs w:val="22"/>
        </w:rPr>
        <w:t>Estabilidad Presupuestaria</w:t>
      </w:r>
      <w:r w:rsidRPr="0093587C">
        <w:rPr>
          <w:rStyle w:val="af-doc-l-nav-esp"/>
          <w:rFonts w:ascii="Calibri" w:hAnsi="Calibri" w:cs="Calibri"/>
          <w:sz w:val="22"/>
          <w:szCs w:val="22"/>
        </w:rPr>
        <w:t xml:space="preserve"> y Sostenibilidad Financiera, modificada por la Orden HAP/2082/2014, de 7 de noviembre.</w:t>
      </w:r>
    </w:p>
    <w:p w:rsidR="00062632" w:rsidRDefault="00062632" w:rsidP="001869D9">
      <w:pPr>
        <w:numPr>
          <w:ilvl w:val="0"/>
          <w:numId w:val="4"/>
        </w:numPr>
        <w:tabs>
          <w:tab w:val="num" w:pos="720"/>
        </w:tabs>
        <w:spacing w:after="60"/>
        <w:ind w:left="993" w:hanging="284"/>
        <w:jc w:val="both"/>
        <w:rPr>
          <w:rFonts w:ascii="Calibri" w:hAnsi="Calibri" w:cs="Calibri"/>
          <w:sz w:val="22"/>
          <w:szCs w:val="22"/>
        </w:rPr>
      </w:pPr>
      <w:r w:rsidRPr="0093587C">
        <w:rPr>
          <w:rFonts w:ascii="Calibri" w:hAnsi="Calibri" w:cs="Calibri"/>
          <w:sz w:val="22"/>
          <w:szCs w:val="22"/>
        </w:rPr>
        <w:t>Reglamento nº 549/2013, del Parlamento Europeo y del Consejo, de 21 de mayo (DOCE. 26-06-2013), que aprueba el SEC 2010.</w:t>
      </w:r>
    </w:p>
    <w:p w:rsidR="005130D6" w:rsidRDefault="005130D6" w:rsidP="001869D9">
      <w:pPr>
        <w:numPr>
          <w:ilvl w:val="0"/>
          <w:numId w:val="4"/>
        </w:numPr>
        <w:tabs>
          <w:tab w:val="num" w:pos="720"/>
        </w:tabs>
        <w:spacing w:after="60"/>
        <w:ind w:left="993" w:hanging="284"/>
        <w:jc w:val="both"/>
        <w:rPr>
          <w:rFonts w:ascii="Calibri" w:hAnsi="Calibri" w:cs="Calibri"/>
          <w:sz w:val="22"/>
          <w:szCs w:val="22"/>
        </w:rPr>
      </w:pPr>
      <w:r>
        <w:rPr>
          <w:rFonts w:ascii="Calibri" w:hAnsi="Calibri" w:cs="Calibri"/>
          <w:sz w:val="22"/>
          <w:szCs w:val="22"/>
        </w:rPr>
        <w:t xml:space="preserve">Acuerdo </w:t>
      </w:r>
      <w:r w:rsidR="00305747">
        <w:rPr>
          <w:rFonts w:ascii="Calibri" w:hAnsi="Calibri" w:cs="Calibri"/>
          <w:sz w:val="22"/>
          <w:szCs w:val="22"/>
        </w:rPr>
        <w:t>del Consejo de Ministros de 2</w:t>
      </w:r>
      <w:r w:rsidR="001869D9">
        <w:rPr>
          <w:rFonts w:ascii="Calibri" w:hAnsi="Calibri" w:cs="Calibri"/>
          <w:sz w:val="22"/>
          <w:szCs w:val="22"/>
        </w:rPr>
        <w:t>6</w:t>
      </w:r>
      <w:r>
        <w:rPr>
          <w:rFonts w:ascii="Calibri" w:hAnsi="Calibri" w:cs="Calibri"/>
          <w:sz w:val="22"/>
          <w:szCs w:val="22"/>
        </w:rPr>
        <w:t xml:space="preserve"> de </w:t>
      </w:r>
      <w:r w:rsidR="00305747">
        <w:rPr>
          <w:rFonts w:ascii="Calibri" w:hAnsi="Calibri" w:cs="Calibri"/>
          <w:sz w:val="22"/>
          <w:szCs w:val="22"/>
        </w:rPr>
        <w:t xml:space="preserve">julio </w:t>
      </w:r>
      <w:r>
        <w:rPr>
          <w:rFonts w:ascii="Calibri" w:hAnsi="Calibri" w:cs="Calibri"/>
          <w:sz w:val="22"/>
          <w:szCs w:val="22"/>
        </w:rPr>
        <w:t>de 202</w:t>
      </w:r>
      <w:r w:rsidR="001869D9">
        <w:rPr>
          <w:rFonts w:ascii="Calibri" w:hAnsi="Calibri" w:cs="Calibri"/>
          <w:sz w:val="22"/>
          <w:szCs w:val="22"/>
        </w:rPr>
        <w:t xml:space="preserve">2 por el que se suspenden </w:t>
      </w:r>
      <w:r>
        <w:rPr>
          <w:rFonts w:ascii="Calibri" w:hAnsi="Calibri" w:cs="Calibri"/>
          <w:sz w:val="22"/>
          <w:szCs w:val="22"/>
        </w:rPr>
        <w:t xml:space="preserve">las reglas fiscales para </w:t>
      </w:r>
      <w:r w:rsidR="00305747">
        <w:rPr>
          <w:rFonts w:ascii="Calibri" w:hAnsi="Calibri" w:cs="Calibri"/>
          <w:sz w:val="22"/>
          <w:szCs w:val="22"/>
        </w:rPr>
        <w:t xml:space="preserve">el ejercicio </w:t>
      </w:r>
      <w:r>
        <w:rPr>
          <w:rFonts w:ascii="Calibri" w:hAnsi="Calibri" w:cs="Calibri"/>
          <w:sz w:val="22"/>
          <w:szCs w:val="22"/>
        </w:rPr>
        <w:t xml:space="preserve"> 202</w:t>
      </w:r>
      <w:r w:rsidR="001869D9">
        <w:rPr>
          <w:rFonts w:ascii="Calibri" w:hAnsi="Calibri" w:cs="Calibri"/>
          <w:sz w:val="22"/>
          <w:szCs w:val="22"/>
        </w:rPr>
        <w:t>3.</w:t>
      </w:r>
    </w:p>
    <w:p w:rsidR="00062632" w:rsidRPr="0093587C" w:rsidRDefault="00062632" w:rsidP="001869D9">
      <w:pPr>
        <w:numPr>
          <w:ilvl w:val="0"/>
          <w:numId w:val="4"/>
        </w:numPr>
        <w:tabs>
          <w:tab w:val="num" w:pos="720"/>
        </w:tabs>
        <w:spacing w:after="60"/>
        <w:ind w:left="993" w:hanging="284"/>
        <w:jc w:val="both"/>
        <w:rPr>
          <w:rFonts w:ascii="Calibri" w:hAnsi="Calibri" w:cs="Calibri"/>
          <w:sz w:val="22"/>
          <w:szCs w:val="22"/>
        </w:rPr>
      </w:pPr>
      <w:r w:rsidRPr="0093587C">
        <w:rPr>
          <w:rFonts w:ascii="Calibri" w:hAnsi="Calibri" w:cs="Calibri"/>
          <w:sz w:val="22"/>
          <w:szCs w:val="22"/>
        </w:rPr>
        <w:t>Manual de cálculo del déficit en contabilidad nacional adaptado a las Corporaciones Locales, publicado por la IGAE.</w:t>
      </w:r>
    </w:p>
    <w:p w:rsidR="00062632" w:rsidRPr="0093587C" w:rsidRDefault="00062632" w:rsidP="001869D9">
      <w:pPr>
        <w:numPr>
          <w:ilvl w:val="0"/>
          <w:numId w:val="4"/>
        </w:numPr>
        <w:tabs>
          <w:tab w:val="num" w:pos="720"/>
        </w:tabs>
        <w:ind w:left="993" w:hanging="284"/>
        <w:jc w:val="both"/>
        <w:rPr>
          <w:rFonts w:ascii="Calibri" w:hAnsi="Calibri" w:cs="Calibri"/>
          <w:sz w:val="22"/>
          <w:szCs w:val="22"/>
        </w:rPr>
      </w:pPr>
      <w:r w:rsidRPr="0093587C">
        <w:rPr>
          <w:rFonts w:ascii="Calibri" w:hAnsi="Calibri" w:cs="Calibri"/>
          <w:sz w:val="22"/>
          <w:szCs w:val="22"/>
        </w:rPr>
        <w:t xml:space="preserve">Guía para la determinación de la </w:t>
      </w:r>
      <w:r w:rsidR="002137C3">
        <w:rPr>
          <w:rFonts w:ascii="Calibri" w:hAnsi="Calibri" w:cs="Calibri"/>
          <w:sz w:val="22"/>
          <w:szCs w:val="22"/>
        </w:rPr>
        <w:t>Regla de Gasto</w:t>
      </w:r>
      <w:r w:rsidRPr="0093587C">
        <w:rPr>
          <w:rFonts w:ascii="Calibri" w:hAnsi="Calibri" w:cs="Calibri"/>
          <w:sz w:val="22"/>
          <w:szCs w:val="22"/>
        </w:rPr>
        <w:t xml:space="preserve"> del artículo 12 de la LOEPSF para corporaciones locales, 3ª edición, IGAE.</w:t>
      </w:r>
    </w:p>
    <w:p w:rsidR="00062632" w:rsidRDefault="00062632" w:rsidP="00062632">
      <w:pPr>
        <w:autoSpaceDE w:val="0"/>
        <w:autoSpaceDN w:val="0"/>
        <w:adjustRightInd w:val="0"/>
        <w:jc w:val="both"/>
        <w:rPr>
          <w:rFonts w:eastAsia="Calibri" w:cs="Calibri"/>
        </w:rPr>
      </w:pPr>
    </w:p>
    <w:p w:rsidR="00062632" w:rsidRPr="000973AC" w:rsidRDefault="005130D6" w:rsidP="00404F36">
      <w:pPr>
        <w:autoSpaceDE w:val="0"/>
        <w:autoSpaceDN w:val="0"/>
        <w:adjustRightInd w:val="0"/>
        <w:ind w:right="-1" w:firstLine="709"/>
        <w:rPr>
          <w:rFonts w:eastAsia="Calibri" w:cs="Calibri"/>
          <w:b/>
          <w:bCs/>
        </w:rPr>
      </w:pPr>
      <w:r>
        <w:rPr>
          <w:rFonts w:ascii="Calibri" w:eastAsia="Calibri" w:hAnsi="Calibri" w:cs="Calibri"/>
          <w:b/>
          <w:bCs/>
          <w:sz w:val="22"/>
          <w:szCs w:val="22"/>
        </w:rPr>
        <w:t>3</w:t>
      </w:r>
      <w:r w:rsidR="00062632" w:rsidRPr="00DC2D74">
        <w:rPr>
          <w:rFonts w:ascii="Calibri" w:eastAsia="Calibri" w:hAnsi="Calibri" w:cs="Calibri"/>
          <w:b/>
          <w:bCs/>
          <w:sz w:val="22"/>
          <w:szCs w:val="22"/>
        </w:rPr>
        <w:t>.- ÁMBITO SUBJETIVO.</w:t>
      </w:r>
      <w:r w:rsidR="00062632">
        <w:rPr>
          <w:rFonts w:ascii="Calibri" w:eastAsia="Calibri" w:hAnsi="Calibri" w:cs="Calibri"/>
          <w:b/>
          <w:bCs/>
          <w:sz w:val="22"/>
          <w:szCs w:val="22"/>
        </w:rPr>
        <w:t xml:space="preserve"> PERIMETRO DE CONSOLIDACION.</w:t>
      </w:r>
    </w:p>
    <w:p w:rsidR="00062632" w:rsidRPr="00DC2D74" w:rsidRDefault="00062632" w:rsidP="00062632">
      <w:pPr>
        <w:autoSpaceDE w:val="0"/>
        <w:autoSpaceDN w:val="0"/>
        <w:adjustRightInd w:val="0"/>
        <w:ind w:right="-1"/>
        <w:rPr>
          <w:rFonts w:ascii="Calibri" w:eastAsia="Calibri" w:hAnsi="Calibri" w:cs="Calibri"/>
          <w:b/>
          <w:bCs/>
          <w:sz w:val="22"/>
          <w:szCs w:val="22"/>
        </w:rPr>
      </w:pPr>
    </w:p>
    <w:p w:rsidR="00062632" w:rsidRPr="00DC2D74" w:rsidRDefault="00062632" w:rsidP="00691F64">
      <w:pPr>
        <w:pStyle w:val="Textonotapie"/>
        <w:spacing w:after="120"/>
        <w:ind w:firstLine="709"/>
        <w:jc w:val="both"/>
        <w:rPr>
          <w:rFonts w:ascii="Calibri" w:eastAsia="Calibri" w:hAnsi="Calibri" w:cs="Calibri"/>
          <w:bCs/>
          <w:sz w:val="22"/>
          <w:szCs w:val="22"/>
        </w:rPr>
      </w:pPr>
      <w:r w:rsidRPr="00DC2D74">
        <w:rPr>
          <w:rFonts w:ascii="Calibri" w:eastAsia="Calibri" w:hAnsi="Calibri" w:cs="Calibri"/>
          <w:bCs/>
          <w:sz w:val="22"/>
          <w:szCs w:val="22"/>
        </w:rPr>
        <w:t>El ámbito subjetivo del presente informe alcanza a:</w:t>
      </w:r>
    </w:p>
    <w:p w:rsidR="00062632" w:rsidRPr="00DC2D74" w:rsidRDefault="00062632" w:rsidP="00691F64">
      <w:pPr>
        <w:pStyle w:val="Textonotapie"/>
        <w:numPr>
          <w:ilvl w:val="0"/>
          <w:numId w:val="13"/>
        </w:numPr>
        <w:ind w:left="993" w:right="-1" w:hanging="284"/>
        <w:jc w:val="both"/>
        <w:rPr>
          <w:rFonts w:ascii="Calibri" w:eastAsia="Calibri" w:hAnsi="Calibri" w:cs="Calibri"/>
          <w:bCs/>
          <w:sz w:val="22"/>
          <w:szCs w:val="22"/>
        </w:rPr>
      </w:pPr>
      <w:r w:rsidRPr="00DC2D74">
        <w:rPr>
          <w:rFonts w:ascii="Calibri" w:eastAsia="Calibri" w:hAnsi="Calibri" w:cs="Calibri"/>
          <w:bCs/>
          <w:sz w:val="22"/>
          <w:szCs w:val="22"/>
        </w:rPr>
        <w:t>Ayuntamiento de___________________</w:t>
      </w:r>
      <w:r w:rsidR="00691F64">
        <w:rPr>
          <w:rFonts w:ascii="Calibri" w:eastAsia="Calibri" w:hAnsi="Calibri" w:cs="Calibri"/>
          <w:bCs/>
          <w:sz w:val="22"/>
          <w:szCs w:val="22"/>
        </w:rPr>
        <w:t xml:space="preserve"> </w:t>
      </w:r>
      <w:r w:rsidRPr="00DC2D74">
        <w:rPr>
          <w:rFonts w:ascii="Calibri" w:eastAsia="Calibri" w:hAnsi="Calibri" w:cs="Calibri"/>
          <w:bCs/>
          <w:sz w:val="22"/>
          <w:szCs w:val="22"/>
        </w:rPr>
        <w:t>(art 2.1.c  LOEPSF)</w:t>
      </w:r>
    </w:p>
    <w:p w:rsidR="00062632" w:rsidRPr="00C35C00" w:rsidRDefault="00062632" w:rsidP="00062632">
      <w:pPr>
        <w:autoSpaceDE w:val="0"/>
        <w:autoSpaceDN w:val="0"/>
        <w:adjustRightInd w:val="0"/>
        <w:ind w:right="-1"/>
        <w:rPr>
          <w:rFonts w:ascii="Calibri" w:eastAsia="Calibri" w:hAnsi="Calibri" w:cs="Calibri"/>
          <w:b/>
          <w:bCs/>
          <w:sz w:val="22"/>
          <w:szCs w:val="22"/>
        </w:rPr>
      </w:pPr>
    </w:p>
    <w:p w:rsidR="00165920" w:rsidRPr="00C35C00" w:rsidRDefault="00165920" w:rsidP="00062632">
      <w:pPr>
        <w:autoSpaceDE w:val="0"/>
        <w:autoSpaceDN w:val="0"/>
        <w:adjustRightInd w:val="0"/>
        <w:ind w:right="-1"/>
        <w:jc w:val="both"/>
        <w:rPr>
          <w:rFonts w:ascii="Calibri" w:hAnsi="Calibri" w:cs="Calibri"/>
          <w:color w:val="FF0000"/>
          <w:sz w:val="22"/>
          <w:szCs w:val="22"/>
          <w:lang w:val="es-ES_tradnl" w:eastAsia="es-ES_tradnl"/>
        </w:rPr>
      </w:pPr>
    </w:p>
    <w:p w:rsidR="00062632" w:rsidRPr="005D6EDD" w:rsidRDefault="005130D6" w:rsidP="00404F36">
      <w:pPr>
        <w:autoSpaceDE w:val="0"/>
        <w:autoSpaceDN w:val="0"/>
        <w:adjustRightInd w:val="0"/>
        <w:ind w:right="-1" w:firstLine="709"/>
        <w:jc w:val="both"/>
        <w:rPr>
          <w:rFonts w:ascii="Calibri" w:hAnsi="Calibri" w:cs="Calibri"/>
          <w:b/>
          <w:sz w:val="22"/>
          <w:szCs w:val="22"/>
        </w:rPr>
      </w:pPr>
      <w:r>
        <w:rPr>
          <w:rFonts w:ascii="Calibri" w:hAnsi="Calibri" w:cs="Calibri"/>
          <w:b/>
          <w:sz w:val="22"/>
          <w:szCs w:val="22"/>
        </w:rPr>
        <w:t>4</w:t>
      </w:r>
      <w:r w:rsidR="00062632" w:rsidRPr="005D6EDD">
        <w:rPr>
          <w:rFonts w:ascii="Calibri" w:hAnsi="Calibri" w:cs="Calibri"/>
          <w:b/>
          <w:sz w:val="22"/>
          <w:szCs w:val="22"/>
        </w:rPr>
        <w:t>.- EVALUACION DE</w:t>
      </w:r>
      <w:r>
        <w:rPr>
          <w:rFonts w:ascii="Calibri" w:hAnsi="Calibri" w:cs="Calibri"/>
          <w:b/>
          <w:sz w:val="22"/>
          <w:szCs w:val="22"/>
        </w:rPr>
        <w:t xml:space="preserve"> LA</w:t>
      </w:r>
      <w:r w:rsidR="00062632" w:rsidRPr="005D6EDD">
        <w:rPr>
          <w:rFonts w:ascii="Calibri" w:hAnsi="Calibri" w:cs="Calibri"/>
          <w:b/>
          <w:sz w:val="22"/>
          <w:szCs w:val="22"/>
        </w:rPr>
        <w:t xml:space="preserve"> </w:t>
      </w:r>
      <w:r w:rsidR="002137C3">
        <w:rPr>
          <w:rFonts w:ascii="Calibri" w:hAnsi="Calibri" w:cs="Calibri"/>
          <w:b/>
          <w:sz w:val="22"/>
          <w:szCs w:val="22"/>
        </w:rPr>
        <w:t>ESTABILIDAD PRESUPUESTARIA</w:t>
      </w:r>
    </w:p>
    <w:p w:rsidR="00062632" w:rsidRPr="005D6EDD" w:rsidRDefault="00404F36" w:rsidP="00062632">
      <w:pPr>
        <w:ind w:right="-1"/>
        <w:jc w:val="both"/>
        <w:rPr>
          <w:rFonts w:ascii="Calibri" w:hAnsi="Calibri" w:cs="Calibri"/>
          <w:sz w:val="22"/>
          <w:szCs w:val="22"/>
        </w:rPr>
      </w:pPr>
      <w:r>
        <w:rPr>
          <w:rFonts w:ascii="Calibri" w:hAnsi="Calibri" w:cs="Calibri"/>
          <w:sz w:val="22"/>
          <w:szCs w:val="22"/>
        </w:rPr>
        <w:tab/>
      </w:r>
    </w:p>
    <w:p w:rsidR="00062632" w:rsidRPr="005D6EDD" w:rsidRDefault="00062632" w:rsidP="00062632">
      <w:pPr>
        <w:spacing w:after="120"/>
        <w:ind w:right="-1"/>
        <w:jc w:val="both"/>
        <w:rPr>
          <w:rFonts w:ascii="Calibri" w:hAnsi="Calibri" w:cs="Calibri"/>
          <w:sz w:val="22"/>
          <w:szCs w:val="22"/>
        </w:rPr>
      </w:pPr>
      <w:r>
        <w:rPr>
          <w:rFonts w:ascii="Calibri" w:hAnsi="Calibri" w:cs="Calibri"/>
          <w:sz w:val="22"/>
          <w:szCs w:val="22"/>
        </w:rPr>
        <w:tab/>
      </w:r>
      <w:r w:rsidRPr="005D6EDD">
        <w:rPr>
          <w:rFonts w:ascii="Calibri" w:hAnsi="Calibri" w:cs="Calibri"/>
          <w:sz w:val="22"/>
          <w:szCs w:val="22"/>
        </w:rPr>
        <w:t>El artículo 11.4 LOEPSF dispone que “Las Corporaciones Locales deberán mantener una posición de equilibrio o superávit presupuestario”.</w:t>
      </w:r>
    </w:p>
    <w:p w:rsidR="00062632" w:rsidRPr="005D6EDD" w:rsidRDefault="00062632" w:rsidP="00062632">
      <w:pPr>
        <w:autoSpaceDE w:val="0"/>
        <w:autoSpaceDN w:val="0"/>
        <w:adjustRightInd w:val="0"/>
        <w:ind w:right="-1"/>
        <w:jc w:val="both"/>
        <w:rPr>
          <w:rFonts w:ascii="Calibri" w:eastAsia="Calibri" w:hAnsi="Calibri" w:cs="Calibri"/>
          <w:sz w:val="22"/>
          <w:szCs w:val="22"/>
          <w:lang w:eastAsia="en-US"/>
        </w:rPr>
      </w:pPr>
      <w:r w:rsidRPr="005D6EDD">
        <w:rPr>
          <w:rFonts w:ascii="Calibri" w:hAnsi="Calibri" w:cs="Calibri"/>
          <w:sz w:val="22"/>
          <w:szCs w:val="22"/>
        </w:rPr>
        <w:tab/>
      </w:r>
      <w:r w:rsidRPr="005D6EDD">
        <w:rPr>
          <w:rFonts w:ascii="Calibri" w:eastAsia="Calibri" w:hAnsi="Calibri" w:cs="Calibri"/>
          <w:sz w:val="22"/>
          <w:szCs w:val="22"/>
          <w:lang w:eastAsia="en-US"/>
        </w:rPr>
        <w:t xml:space="preserve">Para las Corporaciones Locales (artículo 2.1 de la LOEPSF), se cumple el objetivo de </w:t>
      </w:r>
      <w:r w:rsidR="002137C3">
        <w:rPr>
          <w:rFonts w:ascii="Calibri" w:eastAsia="Calibri" w:hAnsi="Calibri" w:cs="Calibri"/>
          <w:sz w:val="22"/>
          <w:szCs w:val="22"/>
          <w:lang w:eastAsia="en-US"/>
        </w:rPr>
        <w:t>Estabilidad Presupuestaria</w:t>
      </w:r>
      <w:r w:rsidRPr="005D6EDD">
        <w:rPr>
          <w:rFonts w:ascii="Calibri" w:eastAsia="Calibri" w:hAnsi="Calibri" w:cs="Calibri"/>
          <w:sz w:val="22"/>
          <w:szCs w:val="22"/>
          <w:lang w:eastAsia="en-US"/>
        </w:rPr>
        <w:t>, si el conjunto de los presupuestos liquidados y cuentas anuales formuladas de las entidades clasificadas como administraciones públicas que integran la Corporación Local, presenta equilibrio o superávit, en términos de capacidad de financiación, de acuerdo con la definición contenida en el Sistema Europeo de Cuentas.</w:t>
      </w:r>
    </w:p>
    <w:p w:rsidR="00062632" w:rsidRPr="005D6EDD" w:rsidRDefault="00062632" w:rsidP="00062632">
      <w:pPr>
        <w:autoSpaceDE w:val="0"/>
        <w:autoSpaceDN w:val="0"/>
        <w:adjustRightInd w:val="0"/>
        <w:ind w:right="-1"/>
        <w:rPr>
          <w:rFonts w:ascii="Calibri" w:eastAsia="Calibri" w:hAnsi="Calibri" w:cs="Calibri"/>
          <w:sz w:val="22"/>
          <w:szCs w:val="22"/>
          <w:lang w:eastAsia="en-US"/>
        </w:rPr>
      </w:pPr>
    </w:p>
    <w:p w:rsidR="00062632" w:rsidRPr="0093587C" w:rsidRDefault="00062632" w:rsidP="00062632">
      <w:pPr>
        <w:shd w:val="clear" w:color="auto" w:fill="FFFFFF"/>
        <w:spacing w:after="120"/>
        <w:ind w:right="-1"/>
        <w:jc w:val="both"/>
        <w:rPr>
          <w:rFonts w:ascii="Calibri" w:hAnsi="Calibri" w:cs="Calibri"/>
          <w:sz w:val="22"/>
          <w:szCs w:val="22"/>
        </w:rPr>
      </w:pPr>
      <w:r w:rsidRPr="000973AC">
        <w:rPr>
          <w:rFonts w:cs="Calibri"/>
        </w:rPr>
        <w:tab/>
      </w:r>
      <w:r w:rsidRPr="005D6EDD">
        <w:rPr>
          <w:rFonts w:ascii="Calibri" w:hAnsi="Calibri" w:cs="Calibri"/>
          <w:sz w:val="22"/>
          <w:szCs w:val="22"/>
        </w:rPr>
        <w:t xml:space="preserve">En la Liquidación del Presupuesto, el cálculo de la capacidad o necesidad de financiación para Entidades sometidas a Presupuesto Limitativo/Contabilidad </w:t>
      </w:r>
      <w:r w:rsidR="00056D09" w:rsidRPr="005D6EDD">
        <w:rPr>
          <w:rFonts w:ascii="Calibri" w:hAnsi="Calibri" w:cs="Calibri"/>
          <w:sz w:val="22"/>
          <w:szCs w:val="22"/>
        </w:rPr>
        <w:t>Pública,</w:t>
      </w:r>
      <w:r w:rsidRPr="005D6EDD">
        <w:rPr>
          <w:rFonts w:ascii="Calibri" w:hAnsi="Calibri" w:cs="Calibri"/>
          <w:sz w:val="22"/>
          <w:szCs w:val="22"/>
        </w:rPr>
        <w:t xml:space="preserve"> se obtiene por la </w:t>
      </w:r>
      <w:r w:rsidRPr="00300524">
        <w:rPr>
          <w:rFonts w:ascii="Calibri" w:hAnsi="Calibri" w:cs="Calibri"/>
          <w:b/>
          <w:sz w:val="22"/>
          <w:szCs w:val="22"/>
        </w:rPr>
        <w:t>diferencia entre los importes correspondientes a los derechos reconocidos netos en los capítulos 1 a 7 del estado de ingresos y las obligaciones reconocidas netas en los capítulos 1 a 7 del estado de gastos</w:t>
      </w:r>
      <w:r w:rsidRPr="00300524">
        <w:rPr>
          <w:rFonts w:ascii="Calibri" w:hAnsi="Calibri" w:cs="Calibri"/>
          <w:b/>
          <w:color w:val="000000"/>
          <w:sz w:val="22"/>
          <w:szCs w:val="22"/>
        </w:rPr>
        <w:t xml:space="preserve">, y mediante </w:t>
      </w:r>
      <w:r w:rsidRPr="00300524">
        <w:rPr>
          <w:rFonts w:ascii="Calibri" w:hAnsi="Calibri" w:cs="Calibri"/>
          <w:b/>
          <w:sz w:val="22"/>
          <w:szCs w:val="22"/>
        </w:rPr>
        <w:t>los oportunos ajustes de contabilidad nacional</w:t>
      </w:r>
      <w:r w:rsidRPr="005D6EDD">
        <w:rPr>
          <w:rFonts w:ascii="Calibri" w:hAnsi="Calibri" w:cs="Calibri"/>
          <w:sz w:val="22"/>
          <w:szCs w:val="22"/>
        </w:rPr>
        <w:t xml:space="preserve">. </w:t>
      </w:r>
      <w:r w:rsidRPr="005D6EDD">
        <w:rPr>
          <w:rFonts w:ascii="Calibri" w:hAnsi="Calibri" w:cs="Calibri"/>
          <w:color w:val="000000"/>
          <w:sz w:val="22"/>
          <w:szCs w:val="22"/>
        </w:rPr>
        <w:t>D</w:t>
      </w:r>
      <w:r w:rsidRPr="005D6EDD">
        <w:rPr>
          <w:rFonts w:ascii="Calibri" w:hAnsi="Calibri" w:cs="Calibri"/>
          <w:sz w:val="22"/>
          <w:szCs w:val="22"/>
        </w:rPr>
        <w:t xml:space="preserve">ebido a la </w:t>
      </w:r>
      <w:r w:rsidRPr="005D6EDD">
        <w:rPr>
          <w:rFonts w:ascii="Calibri" w:hAnsi="Calibri" w:cs="Calibri"/>
          <w:sz w:val="22"/>
          <w:szCs w:val="22"/>
        </w:rPr>
        <w:lastRenderedPageBreak/>
        <w:t xml:space="preserve">diferencia de criterios entre el Sistema Europeo de Cuentas Nacionales y Regionales (SEC-10  ) y la contabilidad presupuestaria , es preciso realizar una serie de ajustes,  siguiendo el </w:t>
      </w:r>
      <w:r w:rsidRPr="005D6EDD">
        <w:rPr>
          <w:rFonts w:ascii="Calibri" w:hAnsi="Calibri" w:cs="Calibri"/>
          <w:i/>
          <w:sz w:val="22"/>
          <w:szCs w:val="22"/>
        </w:rPr>
        <w:t xml:space="preserve">“Manual de cálculo del déficit  en contabilidad nacional adaptado a las Corporaciones Locales” </w:t>
      </w:r>
      <w:r w:rsidRPr="005D6EDD">
        <w:rPr>
          <w:rFonts w:ascii="Calibri" w:hAnsi="Calibri" w:cs="Calibri"/>
          <w:sz w:val="22"/>
          <w:szCs w:val="22"/>
        </w:rPr>
        <w:t xml:space="preserve">elaborado por la IGAE. </w:t>
      </w:r>
    </w:p>
    <w:p w:rsidR="00062632" w:rsidRDefault="00062632" w:rsidP="00062632">
      <w:pPr>
        <w:shd w:val="clear" w:color="auto" w:fill="FFFFFF"/>
        <w:ind w:right="-1"/>
        <w:jc w:val="both"/>
        <w:rPr>
          <w:rFonts w:ascii="Calibri" w:hAnsi="Calibri" w:cs="Calibri"/>
          <w:sz w:val="22"/>
          <w:szCs w:val="22"/>
        </w:rPr>
      </w:pPr>
      <w:r w:rsidRPr="000973AC">
        <w:rPr>
          <w:rFonts w:cs="Calibri"/>
        </w:rPr>
        <w:tab/>
      </w:r>
      <w:r w:rsidRPr="005D6EDD">
        <w:rPr>
          <w:rFonts w:ascii="Calibri" w:hAnsi="Calibri" w:cs="Calibri"/>
          <w:sz w:val="22"/>
          <w:szCs w:val="22"/>
        </w:rPr>
        <w:t>A continuación se relacionan los ajustes efectuados y los correlativos resultados sobre la capacidad o necesidad de financiación.</w:t>
      </w:r>
    </w:p>
    <w:p w:rsidR="00062632" w:rsidRPr="00C35C00" w:rsidRDefault="00062632" w:rsidP="00062632">
      <w:pPr>
        <w:ind w:right="-1"/>
        <w:jc w:val="both"/>
        <w:rPr>
          <w:rFonts w:ascii="Calibri" w:hAnsi="Calibri" w:cs="Calibri"/>
          <w:sz w:val="22"/>
          <w:szCs w:val="22"/>
        </w:rPr>
      </w:pPr>
    </w:p>
    <w:p w:rsidR="00062632" w:rsidRPr="00B927FB" w:rsidRDefault="00062632" w:rsidP="00062632">
      <w:pPr>
        <w:ind w:right="-1"/>
        <w:jc w:val="center"/>
        <w:rPr>
          <w:rFonts w:ascii="Calibri" w:hAnsi="Calibri" w:cs="Calibri"/>
          <w:sz w:val="22"/>
          <w:szCs w:val="22"/>
        </w:rPr>
      </w:pPr>
      <w:r w:rsidRPr="00B927FB">
        <w:rPr>
          <w:rFonts w:ascii="Calibri" w:hAnsi="Calibri" w:cs="Calibri"/>
          <w:b/>
          <w:color w:val="0000FF"/>
          <w:sz w:val="22"/>
          <w:szCs w:val="22"/>
        </w:rPr>
        <w:t>AJUSTES SEC</w:t>
      </w:r>
      <w:r w:rsidRPr="00B927FB">
        <w:rPr>
          <w:rFonts w:ascii="Calibri" w:hAnsi="Calibri" w:cs="Calibri"/>
          <w:sz w:val="22"/>
          <w:szCs w:val="22"/>
        </w:rPr>
        <w:t xml:space="preserve"> </w:t>
      </w:r>
    </w:p>
    <w:p w:rsidR="00062632" w:rsidRPr="00B927FB" w:rsidRDefault="00062632" w:rsidP="00062632">
      <w:pPr>
        <w:ind w:right="-1"/>
        <w:jc w:val="center"/>
        <w:rPr>
          <w:rFonts w:ascii="Calibri" w:hAnsi="Calibri" w:cs="Calibri"/>
          <w:sz w:val="22"/>
          <w:szCs w:val="22"/>
        </w:rPr>
      </w:pPr>
    </w:p>
    <w:p w:rsidR="00101FB3" w:rsidRDefault="00062632" w:rsidP="00D915A3">
      <w:pPr>
        <w:ind w:right="-1"/>
        <w:jc w:val="center"/>
        <w:rPr>
          <w:rFonts w:ascii="Calibri" w:hAnsi="Calibri" w:cs="Calibri"/>
          <w:i/>
          <w:sz w:val="20"/>
          <w:szCs w:val="20"/>
          <w:highlight w:val="lightGray"/>
        </w:rPr>
      </w:pPr>
      <w:r w:rsidRPr="0093587C">
        <w:rPr>
          <w:rFonts w:ascii="Calibri" w:hAnsi="Calibri" w:cs="Calibri"/>
          <w:i/>
          <w:sz w:val="20"/>
          <w:szCs w:val="20"/>
          <w:highlight w:val="lightGray"/>
        </w:rPr>
        <w:t xml:space="preserve">(NOTA: En este modelo nos limitamos a los más frecuentes. Para realizar otros ajustes consultar Manual de Cálculo del déficit en Contabilidad Nacional adaptado a las Corporaciones Locales, </w:t>
      </w:r>
    </w:p>
    <w:p w:rsidR="00062632" w:rsidRPr="0093587C" w:rsidRDefault="00062632" w:rsidP="00D915A3">
      <w:pPr>
        <w:ind w:right="-1"/>
        <w:jc w:val="center"/>
        <w:rPr>
          <w:rFonts w:ascii="Calibri" w:hAnsi="Calibri" w:cs="Calibri"/>
          <w:i/>
          <w:sz w:val="20"/>
          <w:szCs w:val="20"/>
        </w:rPr>
      </w:pPr>
      <w:r w:rsidRPr="0093587C">
        <w:rPr>
          <w:rFonts w:ascii="Calibri" w:hAnsi="Calibri" w:cs="Calibri"/>
          <w:i/>
          <w:sz w:val="20"/>
          <w:szCs w:val="20"/>
          <w:highlight w:val="lightGray"/>
        </w:rPr>
        <w:t>elaborado por la I.G.A.E)</w:t>
      </w:r>
    </w:p>
    <w:p w:rsidR="00062632" w:rsidRPr="0093587C" w:rsidRDefault="00062632" w:rsidP="00062632">
      <w:pPr>
        <w:ind w:right="-1"/>
        <w:jc w:val="both"/>
        <w:rPr>
          <w:rFonts w:cs="Calibri"/>
          <w:i/>
          <w:sz w:val="20"/>
          <w:szCs w:val="20"/>
        </w:rPr>
      </w:pPr>
    </w:p>
    <w:p w:rsidR="00062632" w:rsidRPr="00C35C00" w:rsidRDefault="00062632" w:rsidP="00062632">
      <w:pPr>
        <w:ind w:right="-1"/>
        <w:jc w:val="both"/>
        <w:rPr>
          <w:rFonts w:ascii="Calibri" w:hAnsi="Calibri" w:cs="Calibri"/>
          <w:i/>
          <w:sz w:val="22"/>
          <w:szCs w:val="22"/>
        </w:rPr>
      </w:pPr>
    </w:p>
    <w:p w:rsidR="00062632" w:rsidRPr="00C35C00" w:rsidRDefault="00062632" w:rsidP="00062632">
      <w:pPr>
        <w:ind w:right="-1"/>
        <w:rPr>
          <w:rFonts w:ascii="Calibri" w:hAnsi="Calibri" w:cs="Calibri"/>
          <w:b/>
          <w:color w:val="0000FF"/>
          <w:sz w:val="22"/>
          <w:szCs w:val="22"/>
          <w:u w:val="single"/>
        </w:rPr>
      </w:pPr>
      <w:r w:rsidRPr="00C35C00">
        <w:rPr>
          <w:rFonts w:ascii="Calibri" w:hAnsi="Calibri" w:cs="Calibri"/>
          <w:b/>
          <w:color w:val="0000FF"/>
          <w:sz w:val="22"/>
          <w:szCs w:val="22"/>
          <w:u w:val="single"/>
        </w:rPr>
        <w:t>En el Estado de Ingresos:</w:t>
      </w:r>
    </w:p>
    <w:p w:rsidR="00062632" w:rsidRPr="00C35C00" w:rsidRDefault="00062632" w:rsidP="00062632">
      <w:pPr>
        <w:ind w:right="-1"/>
        <w:rPr>
          <w:rFonts w:ascii="Calibri" w:hAnsi="Calibri" w:cs="Calibri"/>
          <w:b/>
          <w:color w:val="0000FF"/>
          <w:sz w:val="22"/>
          <w:szCs w:val="22"/>
          <w:u w:val="single"/>
        </w:rPr>
      </w:pPr>
    </w:p>
    <w:p w:rsidR="00062632" w:rsidRPr="00C35C00" w:rsidRDefault="00062632" w:rsidP="00062632">
      <w:pPr>
        <w:ind w:right="-1"/>
        <w:rPr>
          <w:rFonts w:ascii="Calibri" w:hAnsi="Calibri" w:cs="Calibri"/>
          <w:b/>
          <w:sz w:val="22"/>
          <w:szCs w:val="22"/>
        </w:rPr>
      </w:pPr>
      <w:r w:rsidRPr="00C35C00">
        <w:rPr>
          <w:rFonts w:ascii="Calibri" w:hAnsi="Calibri" w:cs="Calibri"/>
          <w:b/>
          <w:sz w:val="22"/>
          <w:szCs w:val="22"/>
        </w:rPr>
        <w:t>● Ajuste por recaudación ingresos Cap.1, 2 y 3.</w:t>
      </w:r>
    </w:p>
    <w:p w:rsidR="00062632" w:rsidRPr="00C35C00" w:rsidRDefault="00062632" w:rsidP="00062632">
      <w:pPr>
        <w:ind w:right="-1"/>
        <w:rPr>
          <w:rFonts w:ascii="Calibri" w:hAnsi="Calibri" w:cs="Calibri"/>
          <w:b/>
          <w:sz w:val="22"/>
          <w:szCs w:val="22"/>
        </w:rPr>
      </w:pPr>
    </w:p>
    <w:p w:rsidR="00062632" w:rsidRPr="00C35C00" w:rsidRDefault="00062632" w:rsidP="00062632">
      <w:pPr>
        <w:autoSpaceDE w:val="0"/>
        <w:autoSpaceDN w:val="0"/>
        <w:adjustRightInd w:val="0"/>
        <w:spacing w:after="120"/>
        <w:ind w:right="-1"/>
        <w:jc w:val="both"/>
        <w:rPr>
          <w:rFonts w:ascii="Calibri" w:hAnsi="Calibri" w:cs="Calibri"/>
          <w:sz w:val="22"/>
          <w:szCs w:val="22"/>
        </w:rPr>
      </w:pPr>
      <w:r w:rsidRPr="00C35C00">
        <w:rPr>
          <w:rFonts w:ascii="Calibri" w:hAnsi="Calibri" w:cs="Calibri"/>
          <w:sz w:val="22"/>
          <w:szCs w:val="22"/>
        </w:rPr>
        <w:tab/>
      </w:r>
      <w:r w:rsidRPr="001F714D">
        <w:rPr>
          <w:rFonts w:ascii="Calibri" w:hAnsi="Calibri" w:cs="Calibri"/>
          <w:color w:val="222222"/>
          <w:sz w:val="22"/>
          <w:szCs w:val="22"/>
          <w:shd w:val="clear" w:color="auto" w:fill="FFFFFF"/>
        </w:rPr>
        <w:t xml:space="preserve">El criterio en contabilidad nacional  para la imputación de los ingresos fiscales y </w:t>
      </w:r>
      <w:r w:rsidR="002E2388" w:rsidRPr="001F714D">
        <w:rPr>
          <w:rFonts w:ascii="Calibri" w:hAnsi="Calibri" w:cs="Calibri"/>
          <w:color w:val="222222"/>
          <w:sz w:val="22"/>
          <w:szCs w:val="22"/>
          <w:shd w:val="clear" w:color="auto" w:fill="FFFFFF"/>
        </w:rPr>
        <w:t>asimilados,</w:t>
      </w:r>
      <w:r w:rsidRPr="001F714D">
        <w:rPr>
          <w:rFonts w:ascii="Calibri" w:hAnsi="Calibri" w:cs="Calibri"/>
          <w:color w:val="222222"/>
          <w:sz w:val="22"/>
          <w:szCs w:val="22"/>
          <w:shd w:val="clear" w:color="auto" w:fill="FFFFFF"/>
        </w:rPr>
        <w:t xml:space="preserve"> es el de caja, </w:t>
      </w:r>
      <w:r w:rsidRPr="001F714D">
        <w:rPr>
          <w:rFonts w:ascii="Calibri" w:hAnsi="Calibri" w:cs="Calibri"/>
          <w:sz w:val="22"/>
          <w:szCs w:val="22"/>
        </w:rPr>
        <w:t>se contabiliza el derecho cuando se recauda (derechos  recaudados netos, tanto de ejercicio corriente como cerrados).</w:t>
      </w:r>
    </w:p>
    <w:p w:rsidR="00062632" w:rsidRDefault="00062632" w:rsidP="00062632">
      <w:pPr>
        <w:autoSpaceDE w:val="0"/>
        <w:autoSpaceDN w:val="0"/>
        <w:adjustRightInd w:val="0"/>
        <w:spacing w:after="120"/>
        <w:ind w:right="-1"/>
        <w:jc w:val="both"/>
        <w:rPr>
          <w:rFonts w:ascii="Calibri" w:hAnsi="Calibri" w:cs="Calibri"/>
          <w:iCs/>
          <w:sz w:val="22"/>
          <w:szCs w:val="22"/>
        </w:rPr>
      </w:pPr>
      <w:r w:rsidRPr="00C35C00">
        <w:rPr>
          <w:rFonts w:ascii="Calibri" w:hAnsi="Calibri" w:cs="Calibri"/>
          <w:sz w:val="22"/>
          <w:szCs w:val="22"/>
        </w:rPr>
        <w:tab/>
        <w:t xml:space="preserve">En contabilidad presupuestaria rige el principio de devengo, los ingresos </w:t>
      </w:r>
      <w:r w:rsidRPr="00C35C00">
        <w:rPr>
          <w:rFonts w:ascii="Calibri" w:hAnsi="Calibri" w:cs="Calibri"/>
          <w:iCs/>
          <w:sz w:val="22"/>
          <w:szCs w:val="22"/>
        </w:rPr>
        <w:t>se contabilizan en el ejercicio que se reconoce y liquida el derecho</w:t>
      </w:r>
      <w:r>
        <w:rPr>
          <w:rFonts w:ascii="Calibri" w:hAnsi="Calibri" w:cs="Calibri"/>
          <w:iCs/>
          <w:sz w:val="22"/>
          <w:szCs w:val="22"/>
        </w:rPr>
        <w:t>.</w:t>
      </w:r>
    </w:p>
    <w:p w:rsidR="00062632" w:rsidRPr="0093587C" w:rsidRDefault="00062632" w:rsidP="00062632">
      <w:pPr>
        <w:spacing w:after="120"/>
        <w:jc w:val="both"/>
        <w:rPr>
          <w:rFonts w:ascii="Calibri" w:hAnsi="Calibri" w:cs="Calibri"/>
          <w:sz w:val="22"/>
          <w:szCs w:val="22"/>
        </w:rPr>
      </w:pPr>
      <w:r>
        <w:rPr>
          <w:rFonts w:cs="Calibri"/>
        </w:rPr>
        <w:tab/>
      </w:r>
      <w:r w:rsidRPr="0093587C">
        <w:rPr>
          <w:rFonts w:ascii="Calibri" w:hAnsi="Calibri" w:cs="Calibri"/>
          <w:sz w:val="22"/>
          <w:szCs w:val="22"/>
        </w:rPr>
        <w:t>El ajuste correspondiente vendrá determinado por la diferencia entre los derechos reconocidos netos de los citados capítulos y la recaudación total de dichos ingresos  (recaudación tanto de presupuesto corriente como de presupuestos cerrados).</w:t>
      </w:r>
    </w:p>
    <w:p w:rsidR="00062632" w:rsidRPr="00C35C00" w:rsidRDefault="00062632" w:rsidP="00062632">
      <w:pPr>
        <w:autoSpaceDE w:val="0"/>
        <w:autoSpaceDN w:val="0"/>
        <w:adjustRightInd w:val="0"/>
        <w:spacing w:after="120"/>
        <w:ind w:right="-1"/>
        <w:jc w:val="both"/>
        <w:rPr>
          <w:rFonts w:ascii="Calibri" w:hAnsi="Calibri" w:cs="Calibri"/>
          <w:sz w:val="22"/>
          <w:szCs w:val="22"/>
        </w:rPr>
      </w:pPr>
      <w:r>
        <w:rPr>
          <w:rFonts w:ascii="Calibri" w:hAnsi="Calibri" w:cs="Calibri"/>
          <w:sz w:val="22"/>
          <w:szCs w:val="22"/>
        </w:rPr>
        <w:tab/>
      </w:r>
      <w:r w:rsidRPr="00C35C00">
        <w:rPr>
          <w:rFonts w:ascii="Calibri" w:hAnsi="Calibri" w:cs="Calibri"/>
          <w:sz w:val="22"/>
          <w:szCs w:val="22"/>
        </w:rPr>
        <w:t>Ajuste positivo: si el importe de los derechos reconocidos es menor que los ingresos recaudados (</w:t>
      </w:r>
      <w:r w:rsidR="00A75304" w:rsidRPr="00C35C00">
        <w:rPr>
          <w:rFonts w:ascii="Calibri" w:hAnsi="Calibri" w:cs="Calibri"/>
          <w:sz w:val="22"/>
          <w:szCs w:val="22"/>
        </w:rPr>
        <w:t>corriente más cerrado</w:t>
      </w:r>
      <w:r w:rsidRPr="00C35C00">
        <w:rPr>
          <w:rFonts w:ascii="Calibri" w:hAnsi="Calibri" w:cs="Calibri"/>
          <w:sz w:val="22"/>
          <w:szCs w:val="22"/>
        </w:rPr>
        <w:t xml:space="preserve">) disminuirá el </w:t>
      </w:r>
      <w:r w:rsidR="002E2388" w:rsidRPr="00C35C00">
        <w:rPr>
          <w:rFonts w:ascii="Calibri" w:hAnsi="Calibri" w:cs="Calibri"/>
          <w:sz w:val="22"/>
          <w:szCs w:val="22"/>
        </w:rPr>
        <w:t>déficit.</w:t>
      </w:r>
    </w:p>
    <w:p w:rsidR="00062632" w:rsidRPr="00C35C00" w:rsidRDefault="00062632" w:rsidP="00062632">
      <w:pPr>
        <w:autoSpaceDE w:val="0"/>
        <w:autoSpaceDN w:val="0"/>
        <w:adjustRightInd w:val="0"/>
        <w:spacing w:after="120"/>
        <w:ind w:right="-1"/>
        <w:jc w:val="both"/>
        <w:rPr>
          <w:rFonts w:ascii="Calibri" w:hAnsi="Calibri" w:cs="Calibri"/>
          <w:sz w:val="22"/>
          <w:szCs w:val="22"/>
        </w:rPr>
      </w:pPr>
      <w:r>
        <w:rPr>
          <w:rFonts w:ascii="Calibri" w:hAnsi="Calibri" w:cs="Calibri"/>
          <w:sz w:val="22"/>
          <w:szCs w:val="22"/>
        </w:rPr>
        <w:tab/>
      </w:r>
      <w:r w:rsidRPr="00C35C00">
        <w:rPr>
          <w:rFonts w:ascii="Calibri" w:hAnsi="Calibri" w:cs="Calibri"/>
          <w:sz w:val="22"/>
          <w:szCs w:val="22"/>
        </w:rPr>
        <w:t xml:space="preserve">Ajuste </w:t>
      </w:r>
      <w:r w:rsidR="002E2388" w:rsidRPr="00C35C00">
        <w:rPr>
          <w:rFonts w:ascii="Calibri" w:hAnsi="Calibri" w:cs="Calibri"/>
          <w:sz w:val="22"/>
          <w:szCs w:val="22"/>
        </w:rPr>
        <w:t>negativo:</w:t>
      </w:r>
      <w:r w:rsidRPr="00C35C00">
        <w:rPr>
          <w:rFonts w:ascii="Calibri" w:hAnsi="Calibri" w:cs="Calibri"/>
          <w:sz w:val="22"/>
          <w:szCs w:val="22"/>
        </w:rPr>
        <w:t xml:space="preserve"> si el importe de los derechos reconocidos es mayor que los ingresos recaudados (corriente más cerrados) </w:t>
      </w:r>
      <w:r>
        <w:rPr>
          <w:rFonts w:ascii="Calibri" w:hAnsi="Calibri" w:cs="Calibri"/>
          <w:sz w:val="22"/>
          <w:szCs w:val="22"/>
        </w:rPr>
        <w:t xml:space="preserve">incrementará </w:t>
      </w:r>
      <w:r w:rsidRPr="00C35C00">
        <w:rPr>
          <w:rFonts w:ascii="Calibri" w:hAnsi="Calibri" w:cs="Calibri"/>
          <w:sz w:val="22"/>
          <w:szCs w:val="22"/>
        </w:rPr>
        <w:t>el déficit.</w:t>
      </w:r>
    </w:p>
    <w:p w:rsidR="00062632" w:rsidRDefault="00062632" w:rsidP="00842FCE">
      <w:pPr>
        <w:jc w:val="center"/>
        <w:rPr>
          <w:rFonts w:ascii="Calibri" w:hAnsi="Calibri" w:cs="Calibri"/>
          <w:b/>
          <w:sz w:val="20"/>
          <w:szCs w:val="20"/>
        </w:rPr>
      </w:pPr>
      <w:r w:rsidRPr="0093587C">
        <w:rPr>
          <w:rFonts w:ascii="Calibri" w:hAnsi="Calibri" w:cs="Calibri"/>
          <w:b/>
          <w:sz w:val="20"/>
          <w:szCs w:val="20"/>
          <w:highlight w:val="lightGray"/>
        </w:rPr>
        <w:t>(Utilizar la hoja Excel de Ajustes Estabilidad y copiar la tabla  "AJUSTE RECAUDACIÓN INGRESOS CAPITULOS  1 a  3")</w:t>
      </w:r>
    </w:p>
    <w:p w:rsidR="00062632" w:rsidRDefault="00062632" w:rsidP="00062632">
      <w:pPr>
        <w:jc w:val="both"/>
        <w:rPr>
          <w:rFonts w:ascii="Calibri" w:hAnsi="Calibri" w:cs="Calibri"/>
          <w:b/>
          <w:sz w:val="20"/>
          <w:szCs w:val="20"/>
        </w:rPr>
      </w:pPr>
    </w:p>
    <w:tbl>
      <w:tblPr>
        <w:tblW w:w="9040" w:type="dxa"/>
        <w:tblInd w:w="60" w:type="dxa"/>
        <w:tblCellMar>
          <w:left w:w="70" w:type="dxa"/>
          <w:right w:w="70" w:type="dxa"/>
        </w:tblCellMar>
        <w:tblLook w:val="04A0" w:firstRow="1" w:lastRow="0" w:firstColumn="1" w:lastColumn="0" w:noHBand="0" w:noVBand="1"/>
      </w:tblPr>
      <w:tblGrid>
        <w:gridCol w:w="1200"/>
        <w:gridCol w:w="1600"/>
        <w:gridCol w:w="1540"/>
        <w:gridCol w:w="1580"/>
        <w:gridCol w:w="1520"/>
        <w:gridCol w:w="1600"/>
      </w:tblGrid>
      <w:tr w:rsidR="008D0F32" w:rsidRPr="008D0F32" w:rsidTr="008D0F32">
        <w:trPr>
          <w:trHeight w:val="315"/>
        </w:trPr>
        <w:tc>
          <w:tcPr>
            <w:tcW w:w="120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8D0F32" w:rsidRPr="008D0F32" w:rsidRDefault="008D0F32" w:rsidP="00842FCE">
            <w:pPr>
              <w:spacing w:before="360"/>
              <w:jc w:val="center"/>
              <w:rPr>
                <w:rFonts w:ascii="Calibri" w:hAnsi="Calibri" w:cs="Calibri"/>
                <w:sz w:val="20"/>
                <w:szCs w:val="20"/>
              </w:rPr>
            </w:pPr>
            <w:r w:rsidRPr="008D0F32">
              <w:rPr>
                <w:rFonts w:ascii="Calibri" w:hAnsi="Calibri" w:cs="Calibri"/>
                <w:sz w:val="20"/>
                <w:szCs w:val="20"/>
              </w:rPr>
              <w:t>Capítulos</w:t>
            </w:r>
          </w:p>
        </w:tc>
        <w:tc>
          <w:tcPr>
            <w:tcW w:w="16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8D0F32" w:rsidRPr="008D0F32" w:rsidRDefault="008D0F32" w:rsidP="000D3A55">
            <w:pPr>
              <w:spacing w:before="120"/>
              <w:jc w:val="center"/>
              <w:rPr>
                <w:rFonts w:ascii="Calibri" w:hAnsi="Calibri" w:cs="Calibri"/>
                <w:sz w:val="20"/>
                <w:szCs w:val="20"/>
              </w:rPr>
            </w:pPr>
            <w:r w:rsidRPr="008D0F32">
              <w:rPr>
                <w:rFonts w:ascii="Calibri" w:hAnsi="Calibri" w:cs="Calibri"/>
                <w:sz w:val="20"/>
                <w:szCs w:val="20"/>
              </w:rPr>
              <w:t xml:space="preserve">Derechos Reconocidos Netos </w:t>
            </w:r>
            <w:r w:rsidRPr="008D0F32">
              <w:rPr>
                <w:rFonts w:ascii="Calibri" w:hAnsi="Calibri" w:cs="Calibri"/>
                <w:color w:val="0033CC"/>
                <w:sz w:val="20"/>
                <w:szCs w:val="20"/>
              </w:rPr>
              <w:t>202</w:t>
            </w:r>
            <w:r w:rsidR="000D3A55">
              <w:rPr>
                <w:rFonts w:ascii="Calibri" w:hAnsi="Calibri" w:cs="Calibri"/>
                <w:color w:val="0033CC"/>
                <w:sz w:val="20"/>
                <w:szCs w:val="20"/>
              </w:rPr>
              <w:t>3</w:t>
            </w:r>
          </w:p>
        </w:tc>
        <w:tc>
          <w:tcPr>
            <w:tcW w:w="3120" w:type="dxa"/>
            <w:gridSpan w:val="2"/>
            <w:tcBorders>
              <w:top w:val="single" w:sz="8" w:space="0" w:color="auto"/>
              <w:left w:val="nil"/>
              <w:bottom w:val="single" w:sz="8" w:space="0" w:color="auto"/>
              <w:right w:val="single" w:sz="8" w:space="0" w:color="auto"/>
            </w:tcBorders>
            <w:shd w:val="clear" w:color="auto" w:fill="auto"/>
            <w:noWrap/>
            <w:hideMark/>
          </w:tcPr>
          <w:p w:rsidR="008D0F32" w:rsidRPr="008D0F32" w:rsidRDefault="008D0F32" w:rsidP="008D0F32">
            <w:pPr>
              <w:jc w:val="center"/>
              <w:rPr>
                <w:rFonts w:ascii="Calibri" w:hAnsi="Calibri" w:cs="Calibri"/>
                <w:sz w:val="20"/>
                <w:szCs w:val="20"/>
              </w:rPr>
            </w:pPr>
            <w:r w:rsidRPr="008D0F32">
              <w:rPr>
                <w:rFonts w:ascii="Calibri" w:hAnsi="Calibri" w:cs="Calibri"/>
                <w:sz w:val="20"/>
                <w:szCs w:val="20"/>
              </w:rPr>
              <w:t>Recaudación líquida</w:t>
            </w:r>
          </w:p>
        </w:tc>
        <w:tc>
          <w:tcPr>
            <w:tcW w:w="152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8D0F32" w:rsidRPr="008D0F32" w:rsidRDefault="008D0F32" w:rsidP="00842FCE">
            <w:pPr>
              <w:spacing w:before="240"/>
              <w:jc w:val="center"/>
              <w:rPr>
                <w:rFonts w:ascii="Calibri" w:hAnsi="Calibri" w:cs="Calibri"/>
                <w:sz w:val="20"/>
                <w:szCs w:val="20"/>
              </w:rPr>
            </w:pPr>
            <w:r w:rsidRPr="008D0F32">
              <w:rPr>
                <w:rFonts w:ascii="Calibri" w:hAnsi="Calibri" w:cs="Calibri"/>
                <w:sz w:val="20"/>
                <w:szCs w:val="20"/>
              </w:rPr>
              <w:t xml:space="preserve">Total Recaudación </w:t>
            </w:r>
          </w:p>
        </w:tc>
        <w:tc>
          <w:tcPr>
            <w:tcW w:w="160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8D0F32" w:rsidRPr="008D0F32" w:rsidRDefault="008D0F32" w:rsidP="00842FCE">
            <w:pPr>
              <w:spacing w:before="360"/>
              <w:jc w:val="center"/>
              <w:rPr>
                <w:rFonts w:ascii="Calibri" w:hAnsi="Calibri" w:cs="Calibri"/>
                <w:color w:val="0000FF"/>
                <w:sz w:val="20"/>
                <w:szCs w:val="20"/>
              </w:rPr>
            </w:pPr>
            <w:r w:rsidRPr="008D0F32">
              <w:rPr>
                <w:rFonts w:ascii="Calibri" w:hAnsi="Calibri" w:cs="Calibri"/>
                <w:color w:val="0000FF"/>
                <w:sz w:val="20"/>
                <w:szCs w:val="20"/>
              </w:rPr>
              <w:t>Ajuste</w:t>
            </w:r>
          </w:p>
        </w:tc>
      </w:tr>
      <w:tr w:rsidR="008D0F32" w:rsidRPr="008D0F32" w:rsidTr="008D0F32">
        <w:trPr>
          <w:trHeight w:val="765"/>
        </w:trPr>
        <w:tc>
          <w:tcPr>
            <w:tcW w:w="1200" w:type="dxa"/>
            <w:vMerge/>
            <w:tcBorders>
              <w:top w:val="single" w:sz="8" w:space="0" w:color="auto"/>
              <w:left w:val="single" w:sz="8" w:space="0" w:color="auto"/>
              <w:bottom w:val="single" w:sz="8" w:space="0" w:color="auto"/>
              <w:right w:val="single" w:sz="8" w:space="0" w:color="auto"/>
            </w:tcBorders>
            <w:vAlign w:val="center"/>
            <w:hideMark/>
          </w:tcPr>
          <w:p w:rsidR="008D0F32" w:rsidRPr="008D0F32" w:rsidRDefault="008D0F32" w:rsidP="008D0F32">
            <w:pPr>
              <w:rPr>
                <w:rFonts w:ascii="Calibri" w:hAnsi="Calibri" w:cs="Calibri"/>
                <w:sz w:val="20"/>
                <w:szCs w:val="20"/>
              </w:rPr>
            </w:pPr>
          </w:p>
        </w:tc>
        <w:tc>
          <w:tcPr>
            <w:tcW w:w="1600" w:type="dxa"/>
            <w:vMerge/>
            <w:tcBorders>
              <w:top w:val="single" w:sz="8" w:space="0" w:color="auto"/>
              <w:left w:val="single" w:sz="8" w:space="0" w:color="auto"/>
              <w:bottom w:val="single" w:sz="8" w:space="0" w:color="auto"/>
              <w:right w:val="single" w:sz="8" w:space="0" w:color="auto"/>
            </w:tcBorders>
            <w:vAlign w:val="center"/>
            <w:hideMark/>
          </w:tcPr>
          <w:p w:rsidR="008D0F32" w:rsidRPr="008D0F32" w:rsidRDefault="008D0F32" w:rsidP="008D0F32">
            <w:pPr>
              <w:rPr>
                <w:rFonts w:ascii="Calibri" w:hAnsi="Calibri" w:cs="Calibri"/>
                <w:sz w:val="20"/>
                <w:szCs w:val="20"/>
              </w:rPr>
            </w:pPr>
          </w:p>
        </w:tc>
        <w:tc>
          <w:tcPr>
            <w:tcW w:w="1540" w:type="dxa"/>
            <w:tcBorders>
              <w:top w:val="nil"/>
              <w:left w:val="nil"/>
              <w:bottom w:val="single" w:sz="8" w:space="0" w:color="auto"/>
              <w:right w:val="single" w:sz="8" w:space="0" w:color="auto"/>
            </w:tcBorders>
            <w:shd w:val="clear" w:color="auto" w:fill="auto"/>
            <w:hideMark/>
          </w:tcPr>
          <w:p w:rsidR="008D0F32" w:rsidRPr="008D0F32" w:rsidRDefault="008D0F32" w:rsidP="000D3A55">
            <w:pPr>
              <w:spacing w:before="120" w:after="120"/>
              <w:jc w:val="center"/>
              <w:rPr>
                <w:rFonts w:ascii="Calibri" w:hAnsi="Calibri" w:cs="Calibri"/>
                <w:sz w:val="20"/>
                <w:szCs w:val="20"/>
              </w:rPr>
            </w:pPr>
            <w:r w:rsidRPr="008D0F32">
              <w:rPr>
                <w:rFonts w:ascii="Calibri" w:hAnsi="Calibri" w:cs="Calibri"/>
                <w:sz w:val="20"/>
                <w:szCs w:val="20"/>
              </w:rPr>
              <w:t xml:space="preserve">Ejercicio corriente </w:t>
            </w:r>
            <w:r w:rsidRPr="008D0F32">
              <w:rPr>
                <w:rFonts w:ascii="Calibri" w:hAnsi="Calibri" w:cs="Calibri"/>
                <w:color w:val="0033CC"/>
                <w:sz w:val="20"/>
                <w:szCs w:val="20"/>
              </w:rPr>
              <w:t>202</w:t>
            </w:r>
            <w:r w:rsidR="000D3A55">
              <w:rPr>
                <w:rFonts w:ascii="Calibri" w:hAnsi="Calibri" w:cs="Calibri"/>
                <w:color w:val="0033CC"/>
                <w:sz w:val="20"/>
                <w:szCs w:val="20"/>
              </w:rPr>
              <w:t>3</w:t>
            </w:r>
          </w:p>
        </w:tc>
        <w:tc>
          <w:tcPr>
            <w:tcW w:w="1580" w:type="dxa"/>
            <w:tcBorders>
              <w:top w:val="nil"/>
              <w:left w:val="nil"/>
              <w:bottom w:val="single" w:sz="8" w:space="0" w:color="auto"/>
              <w:right w:val="single" w:sz="8" w:space="0" w:color="auto"/>
            </w:tcBorders>
            <w:shd w:val="clear" w:color="auto" w:fill="auto"/>
            <w:hideMark/>
          </w:tcPr>
          <w:p w:rsidR="008D0F32" w:rsidRPr="008D0F32" w:rsidRDefault="008D0F32" w:rsidP="00842FCE">
            <w:pPr>
              <w:spacing w:before="120" w:after="120"/>
              <w:jc w:val="center"/>
              <w:rPr>
                <w:rFonts w:ascii="Calibri" w:hAnsi="Calibri" w:cs="Calibri"/>
                <w:sz w:val="20"/>
                <w:szCs w:val="20"/>
              </w:rPr>
            </w:pPr>
            <w:r w:rsidRPr="008D0F32">
              <w:rPr>
                <w:rFonts w:ascii="Calibri" w:hAnsi="Calibri" w:cs="Calibri"/>
                <w:sz w:val="20"/>
                <w:szCs w:val="20"/>
              </w:rPr>
              <w:t>Ejercicios cerrados</w:t>
            </w:r>
          </w:p>
        </w:tc>
        <w:tc>
          <w:tcPr>
            <w:tcW w:w="1520" w:type="dxa"/>
            <w:vMerge/>
            <w:tcBorders>
              <w:top w:val="single" w:sz="8" w:space="0" w:color="auto"/>
              <w:left w:val="single" w:sz="8" w:space="0" w:color="auto"/>
              <w:bottom w:val="single" w:sz="8" w:space="0" w:color="auto"/>
              <w:right w:val="single" w:sz="8" w:space="0" w:color="auto"/>
            </w:tcBorders>
            <w:vAlign w:val="center"/>
            <w:hideMark/>
          </w:tcPr>
          <w:p w:rsidR="008D0F32" w:rsidRPr="008D0F32" w:rsidRDefault="008D0F32" w:rsidP="008D0F32">
            <w:pPr>
              <w:rPr>
                <w:rFonts w:ascii="Calibri" w:hAnsi="Calibri" w:cs="Calibri"/>
                <w:sz w:val="20"/>
                <w:szCs w:val="20"/>
              </w:rPr>
            </w:pPr>
          </w:p>
        </w:tc>
        <w:tc>
          <w:tcPr>
            <w:tcW w:w="1600" w:type="dxa"/>
            <w:vMerge/>
            <w:tcBorders>
              <w:top w:val="single" w:sz="8" w:space="0" w:color="auto"/>
              <w:left w:val="single" w:sz="8" w:space="0" w:color="auto"/>
              <w:bottom w:val="single" w:sz="8" w:space="0" w:color="auto"/>
              <w:right w:val="single" w:sz="8" w:space="0" w:color="auto"/>
            </w:tcBorders>
            <w:vAlign w:val="center"/>
            <w:hideMark/>
          </w:tcPr>
          <w:p w:rsidR="008D0F32" w:rsidRPr="008D0F32" w:rsidRDefault="008D0F32" w:rsidP="008D0F32">
            <w:pPr>
              <w:rPr>
                <w:rFonts w:ascii="Calibri" w:hAnsi="Calibri" w:cs="Calibri"/>
                <w:color w:val="0000FF"/>
                <w:sz w:val="20"/>
                <w:szCs w:val="20"/>
              </w:rPr>
            </w:pPr>
          </w:p>
        </w:tc>
      </w:tr>
      <w:tr w:rsidR="008D0F32" w:rsidRPr="008D0F32" w:rsidTr="008D0F32">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D0F32" w:rsidRPr="008D0F32" w:rsidRDefault="008D0F32" w:rsidP="008D0F32">
            <w:pPr>
              <w:jc w:val="center"/>
              <w:rPr>
                <w:rFonts w:ascii="Calibri" w:hAnsi="Calibri" w:cs="Calibri"/>
                <w:sz w:val="20"/>
                <w:szCs w:val="20"/>
              </w:rPr>
            </w:pPr>
            <w:r w:rsidRPr="008D0F32">
              <w:rPr>
                <w:rFonts w:ascii="Calibri" w:hAnsi="Calibri" w:cs="Calibri"/>
                <w:sz w:val="20"/>
                <w:szCs w:val="20"/>
              </w:rPr>
              <w:t>1</w:t>
            </w:r>
          </w:p>
        </w:tc>
        <w:tc>
          <w:tcPr>
            <w:tcW w:w="1600" w:type="dxa"/>
            <w:tcBorders>
              <w:top w:val="nil"/>
              <w:left w:val="nil"/>
              <w:bottom w:val="single" w:sz="8" w:space="0" w:color="auto"/>
              <w:right w:val="single" w:sz="8" w:space="0" w:color="auto"/>
            </w:tcBorders>
            <w:shd w:val="clear" w:color="000000" w:fill="FFFFFF"/>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0,00</w:t>
            </w:r>
          </w:p>
        </w:tc>
        <w:tc>
          <w:tcPr>
            <w:tcW w:w="1540" w:type="dxa"/>
            <w:tcBorders>
              <w:top w:val="nil"/>
              <w:left w:val="nil"/>
              <w:bottom w:val="single" w:sz="8" w:space="0" w:color="auto"/>
              <w:right w:val="single" w:sz="8" w:space="0" w:color="auto"/>
            </w:tcBorders>
            <w:shd w:val="clear" w:color="000000" w:fill="CCECFF"/>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 </w:t>
            </w:r>
          </w:p>
        </w:tc>
        <w:tc>
          <w:tcPr>
            <w:tcW w:w="1580" w:type="dxa"/>
            <w:tcBorders>
              <w:top w:val="nil"/>
              <w:left w:val="nil"/>
              <w:bottom w:val="single" w:sz="8" w:space="0" w:color="auto"/>
              <w:right w:val="single" w:sz="8" w:space="0" w:color="auto"/>
            </w:tcBorders>
            <w:shd w:val="clear" w:color="000000" w:fill="CCECFF"/>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 </w:t>
            </w:r>
          </w:p>
        </w:tc>
        <w:tc>
          <w:tcPr>
            <w:tcW w:w="1520" w:type="dxa"/>
            <w:tcBorders>
              <w:top w:val="nil"/>
              <w:left w:val="nil"/>
              <w:bottom w:val="single" w:sz="8" w:space="0" w:color="auto"/>
              <w:right w:val="single" w:sz="8" w:space="0" w:color="auto"/>
            </w:tcBorders>
            <w:shd w:val="clear" w:color="auto" w:fill="auto"/>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0,00</w:t>
            </w:r>
          </w:p>
        </w:tc>
        <w:tc>
          <w:tcPr>
            <w:tcW w:w="1600" w:type="dxa"/>
            <w:tcBorders>
              <w:top w:val="nil"/>
              <w:left w:val="nil"/>
              <w:bottom w:val="single" w:sz="8" w:space="0" w:color="auto"/>
              <w:right w:val="single" w:sz="8" w:space="0" w:color="auto"/>
            </w:tcBorders>
            <w:shd w:val="clear" w:color="auto" w:fill="auto"/>
            <w:noWrap/>
            <w:vAlign w:val="bottom"/>
            <w:hideMark/>
          </w:tcPr>
          <w:p w:rsidR="008D0F32" w:rsidRPr="008D0F32" w:rsidRDefault="008D0F32" w:rsidP="008D0F32">
            <w:pPr>
              <w:jc w:val="right"/>
              <w:rPr>
                <w:rFonts w:ascii="Calibri" w:hAnsi="Calibri" w:cs="Calibri"/>
                <w:color w:val="0000FF"/>
                <w:sz w:val="20"/>
                <w:szCs w:val="20"/>
              </w:rPr>
            </w:pPr>
            <w:r w:rsidRPr="008D0F32">
              <w:rPr>
                <w:rFonts w:ascii="Calibri" w:hAnsi="Calibri" w:cs="Calibri"/>
                <w:color w:val="0000FF"/>
                <w:sz w:val="20"/>
                <w:szCs w:val="20"/>
              </w:rPr>
              <w:t>0,00</w:t>
            </w:r>
          </w:p>
        </w:tc>
      </w:tr>
      <w:tr w:rsidR="008D0F32" w:rsidRPr="008D0F32" w:rsidTr="008D0F32">
        <w:trPr>
          <w:trHeight w:val="37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D0F32" w:rsidRPr="008D0F32" w:rsidRDefault="008D0F32" w:rsidP="008D0F32">
            <w:pPr>
              <w:jc w:val="center"/>
              <w:rPr>
                <w:rFonts w:ascii="Calibri" w:hAnsi="Calibri" w:cs="Calibri"/>
                <w:sz w:val="20"/>
                <w:szCs w:val="20"/>
              </w:rPr>
            </w:pPr>
            <w:r w:rsidRPr="008D0F32">
              <w:rPr>
                <w:rFonts w:ascii="Calibri" w:hAnsi="Calibri" w:cs="Calibri"/>
                <w:sz w:val="20"/>
                <w:szCs w:val="20"/>
              </w:rPr>
              <w:t>2</w:t>
            </w:r>
          </w:p>
        </w:tc>
        <w:tc>
          <w:tcPr>
            <w:tcW w:w="1600" w:type="dxa"/>
            <w:tcBorders>
              <w:top w:val="nil"/>
              <w:left w:val="nil"/>
              <w:bottom w:val="single" w:sz="8" w:space="0" w:color="auto"/>
              <w:right w:val="single" w:sz="8" w:space="0" w:color="auto"/>
            </w:tcBorders>
            <w:shd w:val="clear" w:color="000000" w:fill="FFFFFF"/>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0,00</w:t>
            </w:r>
          </w:p>
        </w:tc>
        <w:tc>
          <w:tcPr>
            <w:tcW w:w="1540" w:type="dxa"/>
            <w:tcBorders>
              <w:top w:val="nil"/>
              <w:left w:val="nil"/>
              <w:bottom w:val="single" w:sz="8" w:space="0" w:color="auto"/>
              <w:right w:val="single" w:sz="8" w:space="0" w:color="auto"/>
            </w:tcBorders>
            <w:shd w:val="clear" w:color="000000" w:fill="CCECFF"/>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 </w:t>
            </w:r>
          </w:p>
        </w:tc>
        <w:tc>
          <w:tcPr>
            <w:tcW w:w="1580" w:type="dxa"/>
            <w:tcBorders>
              <w:top w:val="nil"/>
              <w:left w:val="nil"/>
              <w:bottom w:val="single" w:sz="8" w:space="0" w:color="auto"/>
              <w:right w:val="single" w:sz="8" w:space="0" w:color="auto"/>
            </w:tcBorders>
            <w:shd w:val="clear" w:color="000000" w:fill="CCECFF"/>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 </w:t>
            </w:r>
          </w:p>
        </w:tc>
        <w:tc>
          <w:tcPr>
            <w:tcW w:w="1520" w:type="dxa"/>
            <w:tcBorders>
              <w:top w:val="nil"/>
              <w:left w:val="nil"/>
              <w:bottom w:val="single" w:sz="8" w:space="0" w:color="auto"/>
              <w:right w:val="single" w:sz="8" w:space="0" w:color="auto"/>
            </w:tcBorders>
            <w:shd w:val="clear" w:color="auto" w:fill="auto"/>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0,00</w:t>
            </w:r>
          </w:p>
        </w:tc>
        <w:tc>
          <w:tcPr>
            <w:tcW w:w="1600" w:type="dxa"/>
            <w:tcBorders>
              <w:top w:val="nil"/>
              <w:left w:val="nil"/>
              <w:bottom w:val="single" w:sz="8" w:space="0" w:color="auto"/>
              <w:right w:val="single" w:sz="8" w:space="0" w:color="auto"/>
            </w:tcBorders>
            <w:shd w:val="clear" w:color="auto" w:fill="auto"/>
            <w:noWrap/>
            <w:vAlign w:val="bottom"/>
            <w:hideMark/>
          </w:tcPr>
          <w:p w:rsidR="008D0F32" w:rsidRPr="008D0F32" w:rsidRDefault="008D0F32" w:rsidP="008D0F32">
            <w:pPr>
              <w:jc w:val="right"/>
              <w:rPr>
                <w:rFonts w:ascii="Calibri" w:hAnsi="Calibri" w:cs="Calibri"/>
                <w:color w:val="0000FF"/>
                <w:sz w:val="20"/>
                <w:szCs w:val="20"/>
              </w:rPr>
            </w:pPr>
            <w:r w:rsidRPr="008D0F32">
              <w:rPr>
                <w:rFonts w:ascii="Calibri" w:hAnsi="Calibri" w:cs="Calibri"/>
                <w:color w:val="0000FF"/>
                <w:sz w:val="20"/>
                <w:szCs w:val="20"/>
              </w:rPr>
              <w:t>0,00</w:t>
            </w:r>
          </w:p>
        </w:tc>
      </w:tr>
      <w:tr w:rsidR="008D0F32" w:rsidRPr="008D0F32" w:rsidTr="008D0F32">
        <w:trPr>
          <w:trHeight w:val="27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D0F32" w:rsidRPr="008D0F32" w:rsidRDefault="008D0F32" w:rsidP="008D0F32">
            <w:pPr>
              <w:jc w:val="center"/>
              <w:rPr>
                <w:rFonts w:ascii="Calibri" w:hAnsi="Calibri" w:cs="Calibri"/>
                <w:sz w:val="20"/>
                <w:szCs w:val="20"/>
              </w:rPr>
            </w:pPr>
            <w:r w:rsidRPr="008D0F32">
              <w:rPr>
                <w:rFonts w:ascii="Calibri" w:hAnsi="Calibri" w:cs="Calibri"/>
                <w:sz w:val="20"/>
                <w:szCs w:val="20"/>
              </w:rPr>
              <w:t>3</w:t>
            </w:r>
          </w:p>
        </w:tc>
        <w:tc>
          <w:tcPr>
            <w:tcW w:w="1600" w:type="dxa"/>
            <w:tcBorders>
              <w:top w:val="nil"/>
              <w:left w:val="nil"/>
              <w:bottom w:val="single" w:sz="8" w:space="0" w:color="auto"/>
              <w:right w:val="single" w:sz="8" w:space="0" w:color="auto"/>
            </w:tcBorders>
            <w:shd w:val="clear" w:color="000000" w:fill="FFFFFF"/>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0,00</w:t>
            </w:r>
          </w:p>
        </w:tc>
        <w:tc>
          <w:tcPr>
            <w:tcW w:w="1540" w:type="dxa"/>
            <w:tcBorders>
              <w:top w:val="nil"/>
              <w:left w:val="nil"/>
              <w:bottom w:val="single" w:sz="8" w:space="0" w:color="auto"/>
              <w:right w:val="single" w:sz="8" w:space="0" w:color="auto"/>
            </w:tcBorders>
            <w:shd w:val="clear" w:color="000000" w:fill="CCECFF"/>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 </w:t>
            </w:r>
          </w:p>
        </w:tc>
        <w:tc>
          <w:tcPr>
            <w:tcW w:w="1580" w:type="dxa"/>
            <w:tcBorders>
              <w:top w:val="nil"/>
              <w:left w:val="nil"/>
              <w:bottom w:val="single" w:sz="8" w:space="0" w:color="auto"/>
              <w:right w:val="single" w:sz="8" w:space="0" w:color="auto"/>
            </w:tcBorders>
            <w:shd w:val="clear" w:color="000000" w:fill="CCECFF"/>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 </w:t>
            </w:r>
          </w:p>
        </w:tc>
        <w:tc>
          <w:tcPr>
            <w:tcW w:w="1520" w:type="dxa"/>
            <w:tcBorders>
              <w:top w:val="nil"/>
              <w:left w:val="nil"/>
              <w:bottom w:val="single" w:sz="8" w:space="0" w:color="auto"/>
              <w:right w:val="single" w:sz="8" w:space="0" w:color="auto"/>
            </w:tcBorders>
            <w:shd w:val="clear" w:color="auto" w:fill="auto"/>
            <w:noWrap/>
            <w:vAlign w:val="bottom"/>
            <w:hideMark/>
          </w:tcPr>
          <w:p w:rsidR="008D0F32" w:rsidRPr="008D0F32" w:rsidRDefault="008D0F32" w:rsidP="008D0F32">
            <w:pPr>
              <w:jc w:val="right"/>
              <w:rPr>
                <w:rFonts w:ascii="Calibri" w:hAnsi="Calibri" w:cs="Calibri"/>
                <w:sz w:val="20"/>
                <w:szCs w:val="20"/>
              </w:rPr>
            </w:pPr>
            <w:r w:rsidRPr="008D0F32">
              <w:rPr>
                <w:rFonts w:ascii="Calibri" w:hAnsi="Calibri" w:cs="Calibri"/>
                <w:sz w:val="20"/>
                <w:szCs w:val="20"/>
              </w:rPr>
              <w:t>0,00</w:t>
            </w:r>
          </w:p>
        </w:tc>
        <w:tc>
          <w:tcPr>
            <w:tcW w:w="1600" w:type="dxa"/>
            <w:tcBorders>
              <w:top w:val="nil"/>
              <w:left w:val="nil"/>
              <w:bottom w:val="single" w:sz="8" w:space="0" w:color="auto"/>
              <w:right w:val="single" w:sz="8" w:space="0" w:color="auto"/>
            </w:tcBorders>
            <w:shd w:val="clear" w:color="auto" w:fill="auto"/>
            <w:noWrap/>
            <w:vAlign w:val="bottom"/>
            <w:hideMark/>
          </w:tcPr>
          <w:p w:rsidR="008D0F32" w:rsidRPr="008D0F32" w:rsidRDefault="008D0F32" w:rsidP="008D0F32">
            <w:pPr>
              <w:jc w:val="right"/>
              <w:rPr>
                <w:rFonts w:ascii="Calibri" w:hAnsi="Calibri" w:cs="Calibri"/>
                <w:color w:val="0000FF"/>
                <w:sz w:val="20"/>
                <w:szCs w:val="20"/>
              </w:rPr>
            </w:pPr>
            <w:r w:rsidRPr="008D0F32">
              <w:rPr>
                <w:rFonts w:ascii="Calibri" w:hAnsi="Calibri" w:cs="Calibri"/>
                <w:color w:val="0000FF"/>
                <w:sz w:val="20"/>
                <w:szCs w:val="20"/>
              </w:rPr>
              <w:t>0,00</w:t>
            </w:r>
          </w:p>
        </w:tc>
      </w:tr>
    </w:tbl>
    <w:p w:rsidR="00062632" w:rsidRDefault="00062632" w:rsidP="00062632">
      <w:pPr>
        <w:jc w:val="both"/>
        <w:rPr>
          <w:rFonts w:ascii="Calibri" w:hAnsi="Calibri" w:cs="Calibri"/>
          <w:b/>
          <w:sz w:val="20"/>
          <w:szCs w:val="20"/>
        </w:rPr>
      </w:pPr>
    </w:p>
    <w:p w:rsidR="00062632" w:rsidRDefault="00062632" w:rsidP="00712248">
      <w:pPr>
        <w:spacing w:after="120"/>
        <w:jc w:val="both"/>
        <w:rPr>
          <w:rFonts w:ascii="Calibri" w:hAnsi="Calibri" w:cs="Calibri"/>
          <w:b/>
          <w:sz w:val="22"/>
          <w:szCs w:val="22"/>
        </w:rPr>
      </w:pPr>
      <w:bookmarkStart w:id="3" w:name="_MON_1450688148"/>
      <w:bookmarkEnd w:id="3"/>
      <w:r w:rsidRPr="00BC1AEF">
        <w:rPr>
          <w:rFonts w:ascii="Calibri" w:hAnsi="Calibri" w:cs="Calibri"/>
          <w:b/>
          <w:sz w:val="22"/>
          <w:szCs w:val="22"/>
        </w:rPr>
        <w:t>● Ajustes por la devolución Liquidación negativa PIE. (Cap.4)</w:t>
      </w:r>
    </w:p>
    <w:p w:rsidR="00C329E4" w:rsidRDefault="00B24875" w:rsidP="00712248">
      <w:pPr>
        <w:ind w:left="284" w:right="-1"/>
        <w:jc w:val="both"/>
        <w:rPr>
          <w:rFonts w:ascii="Calibri" w:hAnsi="Calibri" w:cs="Calibri"/>
          <w:sz w:val="22"/>
          <w:szCs w:val="22"/>
        </w:rPr>
      </w:pPr>
      <w:r w:rsidRPr="00BC1AEF">
        <w:rPr>
          <w:rFonts w:ascii="Calibri" w:hAnsi="Calibri" w:cs="Calibri"/>
          <w:sz w:val="22"/>
          <w:szCs w:val="22"/>
        </w:rPr>
        <w:t xml:space="preserve">Otro ajuste que cabe realizar lo constituye el importe </w:t>
      </w:r>
      <w:r w:rsidR="00BC1AEF" w:rsidRPr="00BC1AEF">
        <w:rPr>
          <w:rFonts w:ascii="Calibri" w:hAnsi="Calibri" w:cs="Calibri"/>
          <w:sz w:val="22"/>
          <w:szCs w:val="22"/>
        </w:rPr>
        <w:t xml:space="preserve">que se ha </w:t>
      </w:r>
      <w:r w:rsidRPr="00BC1AEF">
        <w:rPr>
          <w:rFonts w:ascii="Calibri" w:hAnsi="Calibri" w:cs="Calibri"/>
          <w:sz w:val="22"/>
          <w:szCs w:val="22"/>
        </w:rPr>
        <w:t>reintegrado durante 202</w:t>
      </w:r>
      <w:r w:rsidR="004B3338">
        <w:rPr>
          <w:rFonts w:ascii="Calibri" w:hAnsi="Calibri" w:cs="Calibri"/>
          <w:sz w:val="22"/>
          <w:szCs w:val="22"/>
        </w:rPr>
        <w:t>3</w:t>
      </w:r>
      <w:r w:rsidRPr="00BC1AEF">
        <w:rPr>
          <w:rFonts w:ascii="Calibri" w:hAnsi="Calibri" w:cs="Calibri"/>
          <w:sz w:val="22"/>
          <w:szCs w:val="22"/>
        </w:rPr>
        <w:t xml:space="preserve"> al Estado en concepto  de devolución de las liquidaciones negativas correspondiente a los ejercicios 2008, 2009 y la que reste de otra anualidad, por el concepto de Participación en los </w:t>
      </w:r>
      <w:r w:rsidRPr="00BC1AEF">
        <w:rPr>
          <w:rFonts w:ascii="Calibri" w:hAnsi="Calibri" w:cs="Calibri"/>
          <w:sz w:val="22"/>
          <w:szCs w:val="22"/>
        </w:rPr>
        <w:lastRenderedPageBreak/>
        <w:t>Tributos del Estado, que opera sumándolo a los derechos reconocidos netos por este concepto</w:t>
      </w:r>
      <w:r w:rsidR="00BC1AEF" w:rsidRPr="00BC1AEF">
        <w:rPr>
          <w:rFonts w:ascii="Calibri" w:hAnsi="Calibri" w:cs="Calibri"/>
          <w:sz w:val="22"/>
          <w:szCs w:val="22"/>
        </w:rPr>
        <w:t>.</w:t>
      </w:r>
    </w:p>
    <w:p w:rsidR="00712248" w:rsidRPr="00BC1AEF" w:rsidRDefault="00712248" w:rsidP="00712248">
      <w:pPr>
        <w:ind w:left="284" w:right="-1"/>
        <w:jc w:val="both"/>
        <w:rPr>
          <w:rFonts w:ascii="Calibri" w:hAnsi="Calibri" w:cs="Calibri"/>
          <w:sz w:val="22"/>
          <w:szCs w:val="22"/>
        </w:rPr>
      </w:pPr>
    </w:p>
    <w:p w:rsidR="00BC1AEF" w:rsidRDefault="00BC1AEF" w:rsidP="00712248">
      <w:pPr>
        <w:ind w:left="284" w:right="-1"/>
        <w:jc w:val="both"/>
        <w:rPr>
          <w:rFonts w:ascii="Calibri" w:hAnsi="Calibri" w:cs="Calibri"/>
          <w:sz w:val="22"/>
          <w:szCs w:val="22"/>
        </w:rPr>
      </w:pPr>
      <w:r w:rsidRPr="00BC1AEF">
        <w:rPr>
          <w:rFonts w:ascii="Calibri" w:hAnsi="Calibri" w:cs="Calibri"/>
          <w:sz w:val="22"/>
          <w:szCs w:val="22"/>
        </w:rPr>
        <w:t xml:space="preserve">Y respecto a </w:t>
      </w:r>
      <w:r w:rsidR="00350FD7">
        <w:rPr>
          <w:rFonts w:ascii="Calibri" w:hAnsi="Calibri" w:cs="Calibri"/>
          <w:sz w:val="22"/>
          <w:szCs w:val="22"/>
        </w:rPr>
        <w:t>la liquidación definitiva de 2020</w:t>
      </w:r>
      <w:r w:rsidRPr="00BC1AEF">
        <w:rPr>
          <w:rFonts w:ascii="Calibri" w:hAnsi="Calibri" w:cs="Calibri"/>
          <w:sz w:val="22"/>
          <w:szCs w:val="22"/>
        </w:rPr>
        <w:t>, de resultar negativa y no rein</w:t>
      </w:r>
      <w:r w:rsidR="00350FD7">
        <w:rPr>
          <w:rFonts w:ascii="Calibri" w:hAnsi="Calibri" w:cs="Calibri"/>
          <w:sz w:val="22"/>
          <w:szCs w:val="22"/>
        </w:rPr>
        <w:t>tegrarse en su totalidad en 202</w:t>
      </w:r>
      <w:r w:rsidR="004B3338">
        <w:rPr>
          <w:rFonts w:ascii="Calibri" w:hAnsi="Calibri" w:cs="Calibri"/>
          <w:sz w:val="22"/>
          <w:szCs w:val="22"/>
        </w:rPr>
        <w:t>3</w:t>
      </w:r>
      <w:r w:rsidRPr="00BC1AEF">
        <w:rPr>
          <w:rFonts w:ascii="Calibri" w:hAnsi="Calibri" w:cs="Calibri"/>
          <w:sz w:val="22"/>
          <w:szCs w:val="22"/>
        </w:rPr>
        <w:t>, por la cantidad no reintegrada procederá el ajuste negativo.</w:t>
      </w:r>
    </w:p>
    <w:p w:rsidR="00BC1AEF" w:rsidRDefault="00BC1AEF" w:rsidP="00062632">
      <w:pPr>
        <w:ind w:right="-1"/>
        <w:jc w:val="both"/>
        <w:rPr>
          <w:rFonts w:ascii="Calibri" w:hAnsi="Calibri" w:cs="Calibri"/>
          <w:sz w:val="22"/>
          <w:szCs w:val="22"/>
        </w:rPr>
      </w:pPr>
    </w:p>
    <w:p w:rsidR="00BC1AEF" w:rsidRPr="00DA4FC6" w:rsidRDefault="00BC1AEF" w:rsidP="00712248">
      <w:pPr>
        <w:jc w:val="center"/>
        <w:rPr>
          <w:rFonts w:cs="Calibri"/>
          <w:b/>
          <w:sz w:val="20"/>
          <w:szCs w:val="20"/>
          <w:highlight w:val="lightGray"/>
        </w:rPr>
      </w:pPr>
      <w:r w:rsidRPr="008D0F32">
        <w:rPr>
          <w:rFonts w:cs="Calibri"/>
          <w:b/>
          <w:sz w:val="20"/>
          <w:szCs w:val="20"/>
          <w:highlight w:val="lightGray"/>
        </w:rPr>
        <w:t>(</w:t>
      </w:r>
      <w:r w:rsidRPr="00DA4FC6">
        <w:rPr>
          <w:rFonts w:ascii="Calibri" w:hAnsi="Calibri" w:cs="Calibri"/>
          <w:b/>
          <w:sz w:val="20"/>
          <w:szCs w:val="20"/>
          <w:highlight w:val="lightGray"/>
        </w:rPr>
        <w:t>Utilizar la hoja Excel de Ajustes Estabilidad y copiar la tabla  "AJUSTE POR LA DEVOLUCIÓN LIQUIDACION NEGATIVA PIE ")</w:t>
      </w:r>
    </w:p>
    <w:p w:rsidR="00BC1AEF" w:rsidRPr="00BC1AEF" w:rsidRDefault="00BC1AEF" w:rsidP="00062632">
      <w:pPr>
        <w:ind w:right="-1"/>
        <w:jc w:val="both"/>
        <w:rPr>
          <w:rFonts w:ascii="Calibri" w:hAnsi="Calibri" w:cs="Calibri"/>
          <w:b/>
          <w:sz w:val="22"/>
          <w:szCs w:val="22"/>
        </w:rPr>
      </w:pPr>
      <w:r w:rsidRPr="00BC1AEF">
        <w:rPr>
          <w:rFonts w:ascii="Calibri" w:hAnsi="Calibri" w:cs="Calibri"/>
          <w:sz w:val="22"/>
          <w:szCs w:val="22"/>
        </w:rPr>
        <w:t xml:space="preserve"> </w:t>
      </w:r>
    </w:p>
    <w:tbl>
      <w:tblPr>
        <w:tblW w:w="7840" w:type="dxa"/>
        <w:tblInd w:w="60" w:type="dxa"/>
        <w:tblCellMar>
          <w:left w:w="70" w:type="dxa"/>
          <w:right w:w="70" w:type="dxa"/>
        </w:tblCellMar>
        <w:tblLook w:val="04A0" w:firstRow="1" w:lastRow="0" w:firstColumn="1" w:lastColumn="0" w:noHBand="0" w:noVBand="1"/>
      </w:tblPr>
      <w:tblGrid>
        <w:gridCol w:w="6240"/>
        <w:gridCol w:w="1600"/>
      </w:tblGrid>
      <w:tr w:rsidR="008D0F32" w:rsidRPr="008D0F32" w:rsidTr="008D0F32">
        <w:trPr>
          <w:trHeight w:val="270"/>
        </w:trPr>
        <w:tc>
          <w:tcPr>
            <w:tcW w:w="6240"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8D0F32" w:rsidRPr="008D0F32" w:rsidRDefault="008D0F32" w:rsidP="004B3338">
            <w:pPr>
              <w:spacing w:after="60"/>
              <w:rPr>
                <w:rFonts w:ascii="Calibri" w:hAnsi="Calibri" w:cs="Calibri"/>
                <w:color w:val="000000"/>
                <w:sz w:val="20"/>
                <w:szCs w:val="20"/>
              </w:rPr>
            </w:pPr>
            <w:r w:rsidRPr="008D0F32">
              <w:rPr>
                <w:rFonts w:ascii="Calibri" w:hAnsi="Calibri" w:cs="Calibri"/>
                <w:color w:val="000000"/>
                <w:sz w:val="20"/>
                <w:szCs w:val="20"/>
              </w:rPr>
              <w:t xml:space="preserve">Ajuste(+) Devolución liquidación PIE 2008 </w:t>
            </w:r>
          </w:p>
        </w:tc>
        <w:tc>
          <w:tcPr>
            <w:tcW w:w="1600" w:type="dxa"/>
            <w:tcBorders>
              <w:top w:val="single" w:sz="8" w:space="0" w:color="000000"/>
              <w:left w:val="nil"/>
              <w:bottom w:val="single" w:sz="8" w:space="0" w:color="000000"/>
              <w:right w:val="single" w:sz="8" w:space="0" w:color="000000"/>
            </w:tcBorders>
            <w:shd w:val="clear" w:color="000000" w:fill="CCECFF"/>
            <w:vAlign w:val="bottom"/>
            <w:hideMark/>
          </w:tcPr>
          <w:p w:rsidR="008D0F32" w:rsidRPr="008D0F32" w:rsidRDefault="008D0F32" w:rsidP="00F72711">
            <w:pPr>
              <w:spacing w:after="60"/>
              <w:jc w:val="right"/>
              <w:rPr>
                <w:rFonts w:ascii="Calibri" w:hAnsi="Calibri" w:cs="Calibri"/>
                <w:color w:val="000000"/>
                <w:sz w:val="20"/>
                <w:szCs w:val="20"/>
              </w:rPr>
            </w:pPr>
            <w:r w:rsidRPr="008D0F32">
              <w:rPr>
                <w:rFonts w:ascii="Calibri" w:hAnsi="Calibri" w:cs="Calibri"/>
                <w:color w:val="000000"/>
                <w:sz w:val="20"/>
                <w:szCs w:val="20"/>
              </w:rPr>
              <w:t> </w:t>
            </w:r>
          </w:p>
        </w:tc>
      </w:tr>
      <w:tr w:rsidR="008D0F32" w:rsidRPr="008D0F32" w:rsidTr="008D0F32">
        <w:trPr>
          <w:trHeight w:val="390"/>
        </w:trPr>
        <w:tc>
          <w:tcPr>
            <w:tcW w:w="6240"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8D0F32" w:rsidRPr="008D0F32" w:rsidRDefault="008D0F32" w:rsidP="004B3338">
            <w:pPr>
              <w:spacing w:after="60"/>
              <w:rPr>
                <w:rFonts w:ascii="Calibri" w:hAnsi="Calibri" w:cs="Calibri"/>
                <w:color w:val="000000"/>
                <w:sz w:val="20"/>
                <w:szCs w:val="20"/>
              </w:rPr>
            </w:pPr>
            <w:r w:rsidRPr="008D0F32">
              <w:rPr>
                <w:rFonts w:ascii="Calibri" w:hAnsi="Calibri" w:cs="Calibri"/>
                <w:color w:val="000000"/>
                <w:sz w:val="20"/>
                <w:szCs w:val="20"/>
              </w:rPr>
              <w:t xml:space="preserve">Ajuste (+) Devolución liquidación PIE 2009 </w:t>
            </w:r>
          </w:p>
        </w:tc>
        <w:tc>
          <w:tcPr>
            <w:tcW w:w="1600" w:type="dxa"/>
            <w:tcBorders>
              <w:top w:val="nil"/>
              <w:left w:val="nil"/>
              <w:bottom w:val="single" w:sz="8" w:space="0" w:color="000000"/>
              <w:right w:val="single" w:sz="8" w:space="0" w:color="000000"/>
            </w:tcBorders>
            <w:shd w:val="clear" w:color="000000" w:fill="CCECFF"/>
            <w:vAlign w:val="bottom"/>
            <w:hideMark/>
          </w:tcPr>
          <w:p w:rsidR="008D0F32" w:rsidRPr="008D0F32" w:rsidRDefault="008D0F32" w:rsidP="00F72711">
            <w:pPr>
              <w:spacing w:after="60"/>
              <w:jc w:val="right"/>
              <w:rPr>
                <w:rFonts w:ascii="Calibri" w:hAnsi="Calibri" w:cs="Calibri"/>
                <w:color w:val="000000"/>
                <w:sz w:val="20"/>
                <w:szCs w:val="20"/>
              </w:rPr>
            </w:pPr>
            <w:r w:rsidRPr="008D0F32">
              <w:rPr>
                <w:rFonts w:ascii="Calibri" w:hAnsi="Calibri" w:cs="Calibri"/>
                <w:color w:val="000000"/>
                <w:sz w:val="20"/>
                <w:szCs w:val="20"/>
              </w:rPr>
              <w:t> </w:t>
            </w:r>
          </w:p>
        </w:tc>
      </w:tr>
      <w:tr w:rsidR="008D0F32" w:rsidRPr="008D0F32" w:rsidTr="008D0F32">
        <w:trPr>
          <w:trHeight w:val="390"/>
        </w:trPr>
        <w:tc>
          <w:tcPr>
            <w:tcW w:w="6240"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8D0F32" w:rsidRPr="008D0F32" w:rsidRDefault="008D0F32" w:rsidP="004B3338">
            <w:pPr>
              <w:spacing w:after="60"/>
              <w:rPr>
                <w:rFonts w:ascii="Calibri" w:hAnsi="Calibri" w:cs="Calibri"/>
                <w:color w:val="000000"/>
                <w:sz w:val="20"/>
                <w:szCs w:val="20"/>
              </w:rPr>
            </w:pPr>
            <w:r w:rsidRPr="008D0F32">
              <w:rPr>
                <w:rFonts w:ascii="Calibri" w:hAnsi="Calibri" w:cs="Calibri"/>
                <w:color w:val="000000"/>
                <w:sz w:val="20"/>
                <w:szCs w:val="20"/>
              </w:rPr>
              <w:t>Ajuste (+) Devolución liquidación PIE ejercicios distintos a 2008 y 2009</w:t>
            </w:r>
          </w:p>
        </w:tc>
        <w:tc>
          <w:tcPr>
            <w:tcW w:w="1600" w:type="dxa"/>
            <w:tcBorders>
              <w:top w:val="nil"/>
              <w:left w:val="nil"/>
              <w:bottom w:val="single" w:sz="8" w:space="0" w:color="000000"/>
              <w:right w:val="single" w:sz="8" w:space="0" w:color="000000"/>
            </w:tcBorders>
            <w:shd w:val="clear" w:color="000000" w:fill="CCECFF"/>
            <w:vAlign w:val="bottom"/>
            <w:hideMark/>
          </w:tcPr>
          <w:p w:rsidR="008D0F32" w:rsidRPr="008D0F32" w:rsidRDefault="008D0F32" w:rsidP="00F72711">
            <w:pPr>
              <w:spacing w:after="60"/>
              <w:jc w:val="right"/>
              <w:rPr>
                <w:rFonts w:ascii="Calibri" w:hAnsi="Calibri" w:cs="Calibri"/>
                <w:color w:val="000000"/>
                <w:sz w:val="20"/>
                <w:szCs w:val="20"/>
              </w:rPr>
            </w:pPr>
            <w:r w:rsidRPr="008D0F32">
              <w:rPr>
                <w:rFonts w:ascii="Calibri" w:hAnsi="Calibri" w:cs="Calibri"/>
                <w:color w:val="000000"/>
                <w:sz w:val="20"/>
                <w:szCs w:val="20"/>
              </w:rPr>
              <w:t> </w:t>
            </w:r>
          </w:p>
        </w:tc>
      </w:tr>
      <w:tr w:rsidR="008D0F32" w:rsidRPr="008D0F32" w:rsidTr="008D0F32">
        <w:trPr>
          <w:trHeight w:val="390"/>
        </w:trPr>
        <w:tc>
          <w:tcPr>
            <w:tcW w:w="6240"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8D0F32" w:rsidRPr="008D0F32" w:rsidRDefault="008D0F32" w:rsidP="004B3338">
            <w:pPr>
              <w:spacing w:after="60"/>
              <w:rPr>
                <w:rFonts w:ascii="Calibri" w:hAnsi="Calibri" w:cs="Calibri"/>
                <w:color w:val="000000"/>
                <w:sz w:val="20"/>
                <w:szCs w:val="20"/>
              </w:rPr>
            </w:pPr>
            <w:r w:rsidRPr="008D0F32">
              <w:rPr>
                <w:rFonts w:ascii="Calibri" w:hAnsi="Calibri" w:cs="Calibri"/>
                <w:color w:val="000000"/>
                <w:sz w:val="20"/>
                <w:szCs w:val="20"/>
              </w:rPr>
              <w:t xml:space="preserve">Ajuste (-)  </w:t>
            </w:r>
            <w:r w:rsidR="00305747">
              <w:rPr>
                <w:rFonts w:ascii="Calibri" w:hAnsi="Calibri" w:cs="Calibri"/>
                <w:color w:val="000000"/>
                <w:sz w:val="20"/>
                <w:szCs w:val="20"/>
              </w:rPr>
              <w:t>liquidación negativa PIE 2020</w:t>
            </w:r>
            <w:r w:rsidRPr="008D0F32">
              <w:rPr>
                <w:rFonts w:ascii="Calibri" w:hAnsi="Calibri" w:cs="Calibri"/>
                <w:color w:val="000000"/>
                <w:sz w:val="20"/>
                <w:szCs w:val="20"/>
              </w:rPr>
              <w:t>, no reintegrada en 202</w:t>
            </w:r>
            <w:r w:rsidR="004B3338">
              <w:rPr>
                <w:rFonts w:ascii="Calibri" w:hAnsi="Calibri" w:cs="Calibri"/>
                <w:color w:val="000000"/>
                <w:sz w:val="20"/>
                <w:szCs w:val="20"/>
              </w:rPr>
              <w:t>3</w:t>
            </w:r>
          </w:p>
        </w:tc>
        <w:tc>
          <w:tcPr>
            <w:tcW w:w="1600" w:type="dxa"/>
            <w:tcBorders>
              <w:top w:val="single" w:sz="4" w:space="0" w:color="auto"/>
              <w:left w:val="nil"/>
              <w:bottom w:val="single" w:sz="8" w:space="0" w:color="000000"/>
              <w:right w:val="single" w:sz="8" w:space="0" w:color="000000"/>
            </w:tcBorders>
            <w:shd w:val="clear" w:color="000000" w:fill="CCECFF"/>
            <w:noWrap/>
            <w:hideMark/>
          </w:tcPr>
          <w:p w:rsidR="008D0F32" w:rsidRPr="008D0F32" w:rsidRDefault="008D0F32" w:rsidP="00F72711">
            <w:pPr>
              <w:spacing w:after="60"/>
              <w:jc w:val="right"/>
              <w:rPr>
                <w:rFonts w:ascii="Calibri" w:hAnsi="Calibri" w:cs="Calibri"/>
                <w:color w:val="000000"/>
                <w:sz w:val="22"/>
                <w:szCs w:val="22"/>
              </w:rPr>
            </w:pPr>
            <w:r w:rsidRPr="008D0F32">
              <w:rPr>
                <w:rFonts w:ascii="Calibri" w:hAnsi="Calibri" w:cs="Calibri"/>
                <w:color w:val="000000"/>
                <w:sz w:val="22"/>
                <w:szCs w:val="22"/>
              </w:rPr>
              <w:t> </w:t>
            </w:r>
          </w:p>
        </w:tc>
      </w:tr>
    </w:tbl>
    <w:p w:rsidR="00CE2FAA" w:rsidRPr="00CE2FAA" w:rsidRDefault="00CE2FAA" w:rsidP="00CE2FAA">
      <w:pPr>
        <w:pStyle w:val="Estndar"/>
        <w:jc w:val="both"/>
        <w:rPr>
          <w:rFonts w:ascii="Arial" w:hAnsi="Arial" w:cs="Arial"/>
          <w:b/>
          <w:sz w:val="21"/>
          <w:szCs w:val="21"/>
          <w:highlight w:val="magenta"/>
          <w:lang w:val="es-ES"/>
        </w:rPr>
      </w:pPr>
    </w:p>
    <w:p w:rsidR="00062632" w:rsidRPr="00C35C00" w:rsidRDefault="00062632" w:rsidP="00062632">
      <w:pPr>
        <w:ind w:right="-1"/>
        <w:rPr>
          <w:rFonts w:ascii="Calibri" w:hAnsi="Calibri" w:cs="Calibri"/>
          <w:b/>
          <w:bCs/>
          <w:sz w:val="22"/>
          <w:szCs w:val="22"/>
        </w:rPr>
      </w:pPr>
      <w:r w:rsidRPr="00C35C00">
        <w:rPr>
          <w:rFonts w:ascii="Calibri" w:hAnsi="Calibri" w:cs="Calibri"/>
          <w:b/>
          <w:sz w:val="22"/>
          <w:szCs w:val="22"/>
        </w:rPr>
        <w:t>● Ajustes por</w:t>
      </w:r>
      <w:r w:rsidRPr="00C35C00">
        <w:rPr>
          <w:rFonts w:ascii="Calibri" w:hAnsi="Calibri" w:cs="Calibri"/>
          <w:b/>
          <w:bCs/>
          <w:sz w:val="22"/>
          <w:szCs w:val="22"/>
        </w:rPr>
        <w:t xml:space="preserve"> Devolución de Ingresos pendientes de aplicar al presupuesto.</w:t>
      </w:r>
    </w:p>
    <w:p w:rsidR="00062632" w:rsidRPr="00C35C00" w:rsidRDefault="00062632" w:rsidP="00062632">
      <w:pPr>
        <w:ind w:right="-1"/>
        <w:jc w:val="both"/>
        <w:rPr>
          <w:rFonts w:ascii="Calibri" w:hAnsi="Calibri" w:cs="Calibri"/>
          <w:sz w:val="22"/>
          <w:szCs w:val="22"/>
          <w:highlight w:val="yellow"/>
        </w:rPr>
      </w:pPr>
    </w:p>
    <w:p w:rsidR="00062632" w:rsidRPr="00C35C00" w:rsidRDefault="00062632" w:rsidP="00062632">
      <w:pPr>
        <w:spacing w:after="120"/>
        <w:jc w:val="both"/>
        <w:rPr>
          <w:rFonts w:ascii="Calibri" w:hAnsi="Calibri" w:cs="Calibri"/>
          <w:sz w:val="22"/>
          <w:szCs w:val="22"/>
        </w:rPr>
      </w:pPr>
      <w:r>
        <w:rPr>
          <w:rFonts w:ascii="Calibri" w:hAnsi="Calibri" w:cs="Calibri"/>
          <w:sz w:val="22"/>
          <w:szCs w:val="22"/>
        </w:rPr>
        <w:tab/>
      </w:r>
      <w:r w:rsidRPr="00C35C00">
        <w:rPr>
          <w:rFonts w:ascii="Calibri" w:hAnsi="Calibri" w:cs="Calibri"/>
          <w:sz w:val="22"/>
          <w:szCs w:val="22"/>
        </w:rPr>
        <w:t xml:space="preserve">En </w:t>
      </w:r>
      <w:r>
        <w:rPr>
          <w:rFonts w:ascii="Calibri" w:hAnsi="Calibri" w:cs="Calibri"/>
          <w:sz w:val="22"/>
          <w:szCs w:val="22"/>
        </w:rPr>
        <w:t xml:space="preserve">la contabilidad del </w:t>
      </w:r>
      <w:r w:rsidRPr="00C35C00">
        <w:rPr>
          <w:rFonts w:ascii="Calibri" w:hAnsi="Calibri" w:cs="Calibri"/>
          <w:sz w:val="22"/>
          <w:szCs w:val="22"/>
        </w:rPr>
        <w:t>presupuesto</w:t>
      </w:r>
      <w:r>
        <w:rPr>
          <w:rFonts w:ascii="Calibri" w:hAnsi="Calibri" w:cs="Calibri"/>
          <w:sz w:val="22"/>
          <w:szCs w:val="22"/>
        </w:rPr>
        <w:t xml:space="preserve"> de ingresos, las operaciones de devoluciones</w:t>
      </w:r>
      <w:r w:rsidRPr="00C35C00">
        <w:rPr>
          <w:rFonts w:ascii="Calibri" w:hAnsi="Calibri" w:cs="Calibri"/>
          <w:sz w:val="22"/>
          <w:szCs w:val="22"/>
        </w:rPr>
        <w:t xml:space="preserve"> de ingresos </w:t>
      </w:r>
      <w:r>
        <w:rPr>
          <w:rFonts w:ascii="Calibri" w:hAnsi="Calibri" w:cs="Calibri"/>
          <w:sz w:val="22"/>
          <w:szCs w:val="22"/>
        </w:rPr>
        <w:t xml:space="preserve">se registran en el momento en que se realiza el pago al acreedor. </w:t>
      </w:r>
    </w:p>
    <w:p w:rsidR="00062632" w:rsidRPr="00C35C00" w:rsidRDefault="00062632" w:rsidP="00062632">
      <w:pPr>
        <w:spacing w:after="120"/>
        <w:jc w:val="both"/>
        <w:rPr>
          <w:rFonts w:ascii="Calibri" w:hAnsi="Calibri" w:cs="Calibri"/>
          <w:sz w:val="22"/>
          <w:szCs w:val="22"/>
        </w:rPr>
      </w:pPr>
      <w:r>
        <w:rPr>
          <w:rFonts w:ascii="Calibri" w:hAnsi="Calibri" w:cs="Calibri"/>
          <w:sz w:val="22"/>
          <w:szCs w:val="22"/>
        </w:rPr>
        <w:tab/>
      </w:r>
      <w:r w:rsidRPr="00C35C00">
        <w:rPr>
          <w:rFonts w:ascii="Calibri" w:hAnsi="Calibri" w:cs="Calibri"/>
          <w:sz w:val="22"/>
          <w:szCs w:val="22"/>
        </w:rPr>
        <w:t xml:space="preserve">Ajuste negativo: Si el saldo final de la cuenta </w:t>
      </w:r>
      <w:r>
        <w:rPr>
          <w:rFonts w:ascii="Calibri" w:hAnsi="Calibri" w:cs="Calibri"/>
          <w:sz w:val="22"/>
          <w:szCs w:val="22"/>
        </w:rPr>
        <w:t>418 "Acreedores por devolución</w:t>
      </w:r>
      <w:r w:rsidRPr="00C35C00">
        <w:rPr>
          <w:rFonts w:ascii="Calibri" w:hAnsi="Calibri" w:cs="Calibri"/>
          <w:sz w:val="22"/>
          <w:szCs w:val="22"/>
        </w:rPr>
        <w:t xml:space="preserve"> de ingresos</w:t>
      </w:r>
      <w:r>
        <w:rPr>
          <w:rFonts w:ascii="Calibri" w:hAnsi="Calibri" w:cs="Calibri"/>
          <w:sz w:val="22"/>
          <w:szCs w:val="22"/>
        </w:rPr>
        <w:t xml:space="preserve"> y otras minoraciones</w:t>
      </w:r>
      <w:r w:rsidRPr="00C35C00">
        <w:rPr>
          <w:rFonts w:ascii="Calibri" w:hAnsi="Calibri" w:cs="Calibri"/>
          <w:sz w:val="22"/>
          <w:szCs w:val="22"/>
        </w:rPr>
        <w:t xml:space="preserve">" es </w:t>
      </w:r>
      <w:r w:rsidRPr="00F668DC">
        <w:rPr>
          <w:rFonts w:ascii="Calibri" w:hAnsi="Calibri" w:cs="Calibri"/>
          <w:sz w:val="22"/>
          <w:szCs w:val="22"/>
        </w:rPr>
        <w:t xml:space="preserve">mayor que el inicial, la diferencia dará lugar a un ajuste negativo  que </w:t>
      </w:r>
      <w:r>
        <w:rPr>
          <w:rFonts w:ascii="Calibri" w:hAnsi="Calibri" w:cs="Calibri"/>
          <w:sz w:val="22"/>
          <w:szCs w:val="22"/>
        </w:rPr>
        <w:t>disminuirá la capacidad de financiación.</w:t>
      </w:r>
    </w:p>
    <w:p w:rsidR="00062632" w:rsidRDefault="00062632" w:rsidP="00062632">
      <w:pPr>
        <w:spacing w:after="120"/>
        <w:jc w:val="both"/>
        <w:rPr>
          <w:rFonts w:ascii="Calibri" w:hAnsi="Calibri" w:cs="Calibri"/>
          <w:bCs/>
          <w:sz w:val="22"/>
          <w:szCs w:val="22"/>
        </w:rPr>
      </w:pPr>
      <w:r>
        <w:rPr>
          <w:rFonts w:ascii="Calibri" w:hAnsi="Calibri" w:cs="Calibri"/>
          <w:sz w:val="22"/>
          <w:szCs w:val="22"/>
        </w:rPr>
        <w:tab/>
      </w:r>
      <w:r w:rsidRPr="00C35C00">
        <w:rPr>
          <w:rFonts w:ascii="Calibri" w:hAnsi="Calibri" w:cs="Calibri"/>
          <w:sz w:val="22"/>
          <w:szCs w:val="22"/>
        </w:rPr>
        <w:t xml:space="preserve">Ajuste positivo: Si el saldo final de la cuenta </w:t>
      </w:r>
      <w:r>
        <w:rPr>
          <w:rFonts w:ascii="Calibri" w:hAnsi="Calibri" w:cs="Calibri"/>
          <w:sz w:val="22"/>
          <w:szCs w:val="22"/>
        </w:rPr>
        <w:t>418 "Acreedores por devolución</w:t>
      </w:r>
      <w:r w:rsidRPr="00C35C00">
        <w:rPr>
          <w:rFonts w:ascii="Calibri" w:hAnsi="Calibri" w:cs="Calibri"/>
          <w:sz w:val="22"/>
          <w:szCs w:val="22"/>
        </w:rPr>
        <w:t xml:space="preserve"> de ingresos</w:t>
      </w:r>
      <w:r>
        <w:rPr>
          <w:rFonts w:ascii="Calibri" w:hAnsi="Calibri" w:cs="Calibri"/>
          <w:sz w:val="22"/>
          <w:szCs w:val="22"/>
        </w:rPr>
        <w:t xml:space="preserve"> y otras minoraciones</w:t>
      </w:r>
      <w:r w:rsidRPr="00C35C00">
        <w:rPr>
          <w:rFonts w:ascii="Calibri" w:hAnsi="Calibri" w:cs="Calibri"/>
          <w:sz w:val="22"/>
          <w:szCs w:val="22"/>
        </w:rPr>
        <w:t>" es menor que el inicial, la diferencia dará lugar a un ajuste positivo que aumentará la capacidad de financiación.</w:t>
      </w:r>
      <w:r w:rsidRPr="00C35C00">
        <w:rPr>
          <w:rFonts w:ascii="Calibri" w:hAnsi="Calibri" w:cs="Calibri"/>
          <w:bCs/>
          <w:sz w:val="22"/>
          <w:szCs w:val="22"/>
        </w:rPr>
        <w:t xml:space="preserve"> </w:t>
      </w:r>
    </w:p>
    <w:p w:rsidR="00062632" w:rsidRPr="00DC5A40" w:rsidRDefault="00062632" w:rsidP="006B58FB">
      <w:pPr>
        <w:jc w:val="center"/>
        <w:rPr>
          <w:rFonts w:ascii="Calibri" w:hAnsi="Calibri" w:cs="Calibri"/>
          <w:b/>
          <w:sz w:val="20"/>
          <w:szCs w:val="20"/>
        </w:rPr>
      </w:pPr>
      <w:r w:rsidRPr="00DC5A40">
        <w:rPr>
          <w:rFonts w:ascii="Calibri" w:hAnsi="Calibri" w:cs="Calibri"/>
          <w:b/>
          <w:sz w:val="20"/>
          <w:szCs w:val="20"/>
          <w:highlight w:val="lightGray"/>
        </w:rPr>
        <w:t>(Utilizar la hoja Excel de Ajustes Estabilidad y copiar la tabla  "AJUSTE POR DEVOLUCIONES INGRESOS PENDIENTES DE APLICAR A PRESUPUESTO</w:t>
      </w:r>
      <w:r>
        <w:rPr>
          <w:rFonts w:ascii="Calibri" w:hAnsi="Calibri" w:cs="Calibri"/>
          <w:b/>
          <w:sz w:val="20"/>
          <w:szCs w:val="20"/>
        </w:rPr>
        <w:t>)</w:t>
      </w:r>
    </w:p>
    <w:p w:rsidR="00062632" w:rsidRPr="00C35C00" w:rsidRDefault="00062632" w:rsidP="00062632">
      <w:pPr>
        <w:ind w:right="-1"/>
        <w:jc w:val="both"/>
        <w:rPr>
          <w:rFonts w:ascii="Calibri" w:hAnsi="Calibri" w:cs="Calibri"/>
          <w:bCs/>
          <w:sz w:val="22"/>
          <w:szCs w:val="22"/>
        </w:rPr>
      </w:pPr>
    </w:p>
    <w:tbl>
      <w:tblPr>
        <w:tblW w:w="9082" w:type="dxa"/>
        <w:tblInd w:w="60" w:type="dxa"/>
        <w:tblCellMar>
          <w:left w:w="70" w:type="dxa"/>
          <w:right w:w="70" w:type="dxa"/>
        </w:tblCellMar>
        <w:tblLook w:val="04A0" w:firstRow="1" w:lastRow="0" w:firstColumn="1" w:lastColumn="0" w:noHBand="0" w:noVBand="1"/>
      </w:tblPr>
      <w:tblGrid>
        <w:gridCol w:w="1600"/>
        <w:gridCol w:w="1560"/>
        <w:gridCol w:w="961"/>
        <w:gridCol w:w="2159"/>
        <w:gridCol w:w="960"/>
        <w:gridCol w:w="1842"/>
      </w:tblGrid>
      <w:tr w:rsidR="00056FED" w:rsidRPr="00056FED" w:rsidTr="00102129">
        <w:trPr>
          <w:trHeight w:val="270"/>
        </w:trPr>
        <w:tc>
          <w:tcPr>
            <w:tcW w:w="16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56FED" w:rsidRPr="00056FED" w:rsidRDefault="00056FED" w:rsidP="00056FED">
            <w:pPr>
              <w:rPr>
                <w:rFonts w:ascii="Calibri" w:hAnsi="Calibri" w:cs="Calibri"/>
                <w:color w:val="000000"/>
                <w:sz w:val="20"/>
                <w:szCs w:val="20"/>
              </w:rPr>
            </w:pPr>
            <w:r w:rsidRPr="00056FED">
              <w:rPr>
                <w:rFonts w:ascii="Calibri" w:hAnsi="Calibri" w:cs="Calibri"/>
                <w:color w:val="0033CC"/>
                <w:sz w:val="20"/>
                <w:szCs w:val="20"/>
              </w:rPr>
              <w:t>Cuenta 418</w:t>
            </w:r>
            <w:r w:rsidRPr="00056FED">
              <w:rPr>
                <w:rFonts w:ascii="Calibri" w:hAnsi="Calibri" w:cs="Calibri"/>
                <w:color w:val="000000"/>
                <w:sz w:val="20"/>
                <w:szCs w:val="20"/>
              </w:rPr>
              <w:t xml:space="preserve"> (Acreedores por devoluciones de ingresos)</w:t>
            </w:r>
          </w:p>
        </w:tc>
        <w:tc>
          <w:tcPr>
            <w:tcW w:w="2521" w:type="dxa"/>
            <w:gridSpan w:val="2"/>
            <w:tcBorders>
              <w:top w:val="single" w:sz="8" w:space="0" w:color="auto"/>
              <w:left w:val="nil"/>
              <w:bottom w:val="single" w:sz="8" w:space="0" w:color="auto"/>
              <w:right w:val="single" w:sz="8" w:space="0" w:color="000000"/>
            </w:tcBorders>
            <w:shd w:val="clear" w:color="auto" w:fill="auto"/>
            <w:hideMark/>
          </w:tcPr>
          <w:p w:rsidR="00056FED" w:rsidRPr="00056FED" w:rsidRDefault="00056FED" w:rsidP="00056FED">
            <w:pPr>
              <w:rPr>
                <w:rFonts w:ascii="Calibri" w:hAnsi="Calibri" w:cs="Calibri"/>
                <w:sz w:val="20"/>
                <w:szCs w:val="20"/>
              </w:rPr>
            </w:pPr>
            <w:r w:rsidRPr="00056FED">
              <w:rPr>
                <w:rFonts w:ascii="Calibri" w:hAnsi="Calibri" w:cs="Calibri"/>
                <w:sz w:val="20"/>
                <w:szCs w:val="20"/>
              </w:rPr>
              <w:t xml:space="preserve">Saldo a 1 de enero de </w:t>
            </w:r>
            <w:r w:rsidRPr="00056FED">
              <w:rPr>
                <w:rFonts w:ascii="Calibri" w:hAnsi="Calibri" w:cs="Calibri"/>
                <w:b/>
                <w:bCs/>
                <w:color w:val="0033CC"/>
                <w:sz w:val="20"/>
                <w:szCs w:val="20"/>
              </w:rPr>
              <w:t>20</w:t>
            </w:r>
            <w:r w:rsidR="0063014A">
              <w:rPr>
                <w:rFonts w:ascii="Calibri" w:hAnsi="Calibri" w:cs="Calibri"/>
                <w:b/>
                <w:bCs/>
                <w:color w:val="0033CC"/>
                <w:sz w:val="20"/>
                <w:szCs w:val="20"/>
              </w:rPr>
              <w:t>2</w:t>
            </w:r>
            <w:r w:rsidR="006B58FB">
              <w:rPr>
                <w:rFonts w:ascii="Calibri" w:hAnsi="Calibri" w:cs="Calibri"/>
                <w:b/>
                <w:bCs/>
                <w:color w:val="0033CC"/>
                <w:sz w:val="20"/>
                <w:szCs w:val="20"/>
              </w:rPr>
              <w:t>3</w:t>
            </w:r>
          </w:p>
        </w:tc>
        <w:tc>
          <w:tcPr>
            <w:tcW w:w="3119" w:type="dxa"/>
            <w:gridSpan w:val="2"/>
            <w:tcBorders>
              <w:top w:val="single" w:sz="8" w:space="0" w:color="auto"/>
              <w:left w:val="nil"/>
              <w:bottom w:val="single" w:sz="8" w:space="0" w:color="auto"/>
              <w:right w:val="single" w:sz="8" w:space="0" w:color="auto"/>
            </w:tcBorders>
            <w:shd w:val="clear" w:color="auto" w:fill="auto"/>
            <w:hideMark/>
          </w:tcPr>
          <w:p w:rsidR="00056FED" w:rsidRPr="00056FED" w:rsidRDefault="00056FED" w:rsidP="00056FED">
            <w:pPr>
              <w:jc w:val="center"/>
              <w:rPr>
                <w:rFonts w:ascii="Calibri" w:hAnsi="Calibri" w:cs="Calibri"/>
                <w:sz w:val="20"/>
                <w:szCs w:val="20"/>
              </w:rPr>
            </w:pPr>
            <w:r w:rsidRPr="00056FED">
              <w:rPr>
                <w:rFonts w:ascii="Calibri" w:hAnsi="Calibri" w:cs="Calibri"/>
                <w:sz w:val="20"/>
                <w:szCs w:val="20"/>
              </w:rPr>
              <w:t xml:space="preserve">Saldo a 31 de diciembre de </w:t>
            </w:r>
            <w:r w:rsidRPr="00056FED">
              <w:rPr>
                <w:rFonts w:ascii="Calibri" w:hAnsi="Calibri" w:cs="Calibri"/>
                <w:b/>
                <w:bCs/>
                <w:color w:val="0033CC"/>
                <w:sz w:val="20"/>
                <w:szCs w:val="20"/>
              </w:rPr>
              <w:t>20</w:t>
            </w:r>
            <w:r w:rsidR="0063014A">
              <w:rPr>
                <w:rFonts w:ascii="Calibri" w:hAnsi="Calibri" w:cs="Calibri"/>
                <w:b/>
                <w:bCs/>
                <w:color w:val="0033CC"/>
                <w:sz w:val="20"/>
                <w:szCs w:val="20"/>
              </w:rPr>
              <w:t>2</w:t>
            </w:r>
            <w:r w:rsidR="006B58FB">
              <w:rPr>
                <w:rFonts w:ascii="Calibri" w:hAnsi="Calibri" w:cs="Calibri"/>
                <w:b/>
                <w:bCs/>
                <w:color w:val="0033CC"/>
                <w:sz w:val="20"/>
                <w:szCs w:val="20"/>
              </w:rPr>
              <w:t>3</w:t>
            </w:r>
          </w:p>
        </w:tc>
        <w:tc>
          <w:tcPr>
            <w:tcW w:w="1842" w:type="dxa"/>
            <w:tcBorders>
              <w:top w:val="single" w:sz="8" w:space="0" w:color="auto"/>
              <w:left w:val="nil"/>
              <w:bottom w:val="single" w:sz="8" w:space="0" w:color="auto"/>
              <w:right w:val="single" w:sz="8" w:space="0" w:color="auto"/>
            </w:tcBorders>
            <w:shd w:val="clear" w:color="auto" w:fill="auto"/>
            <w:hideMark/>
          </w:tcPr>
          <w:p w:rsidR="00056FED" w:rsidRPr="00056FED" w:rsidRDefault="00056FED" w:rsidP="00056FED">
            <w:pPr>
              <w:jc w:val="center"/>
              <w:rPr>
                <w:rFonts w:ascii="Calibri" w:hAnsi="Calibri" w:cs="Calibri"/>
                <w:b/>
                <w:bCs/>
                <w:color w:val="0000FF"/>
                <w:sz w:val="20"/>
                <w:szCs w:val="20"/>
              </w:rPr>
            </w:pPr>
            <w:r w:rsidRPr="00056FED">
              <w:rPr>
                <w:rFonts w:ascii="Calibri" w:hAnsi="Calibri" w:cs="Calibri"/>
                <w:b/>
                <w:bCs/>
                <w:color w:val="0000FF"/>
                <w:sz w:val="20"/>
                <w:szCs w:val="20"/>
              </w:rPr>
              <w:t xml:space="preserve">Ajuste </w:t>
            </w:r>
          </w:p>
        </w:tc>
      </w:tr>
      <w:tr w:rsidR="00056FED" w:rsidRPr="00056FED" w:rsidTr="00102129">
        <w:trPr>
          <w:trHeight w:val="810"/>
        </w:trPr>
        <w:tc>
          <w:tcPr>
            <w:tcW w:w="1600" w:type="dxa"/>
            <w:vMerge/>
            <w:tcBorders>
              <w:top w:val="single" w:sz="8" w:space="0" w:color="auto"/>
              <w:left w:val="single" w:sz="8" w:space="0" w:color="auto"/>
              <w:bottom w:val="single" w:sz="8" w:space="0" w:color="auto"/>
              <w:right w:val="single" w:sz="8" w:space="0" w:color="auto"/>
            </w:tcBorders>
            <w:vAlign w:val="center"/>
            <w:hideMark/>
          </w:tcPr>
          <w:p w:rsidR="00056FED" w:rsidRPr="00056FED" w:rsidRDefault="00056FED" w:rsidP="00056FED">
            <w:pPr>
              <w:rPr>
                <w:rFonts w:ascii="Calibri" w:hAnsi="Calibri" w:cs="Calibri"/>
                <w:color w:val="000000"/>
                <w:sz w:val="20"/>
                <w:szCs w:val="20"/>
              </w:rPr>
            </w:pPr>
          </w:p>
        </w:tc>
        <w:tc>
          <w:tcPr>
            <w:tcW w:w="1560" w:type="dxa"/>
            <w:tcBorders>
              <w:top w:val="nil"/>
              <w:left w:val="nil"/>
              <w:bottom w:val="single" w:sz="8" w:space="0" w:color="auto"/>
              <w:right w:val="nil"/>
            </w:tcBorders>
            <w:shd w:val="clear" w:color="auto" w:fill="FFFFFF" w:themeFill="background1"/>
            <w:noWrap/>
            <w:vAlign w:val="center"/>
            <w:hideMark/>
          </w:tcPr>
          <w:p w:rsidR="00056FED" w:rsidRPr="00056FED" w:rsidRDefault="00056FED" w:rsidP="00056FED">
            <w:pPr>
              <w:rPr>
                <w:rFonts w:ascii="Calibri" w:hAnsi="Calibri" w:cs="Calibri"/>
                <w:sz w:val="20"/>
                <w:szCs w:val="20"/>
              </w:rPr>
            </w:pPr>
            <w:r w:rsidRPr="00056FED">
              <w:rPr>
                <w:rFonts w:ascii="Calibri" w:hAnsi="Calibri" w:cs="Calibri"/>
                <w:sz w:val="20"/>
                <w:szCs w:val="20"/>
              </w:rPr>
              <w:t> </w:t>
            </w:r>
          </w:p>
        </w:tc>
        <w:tc>
          <w:tcPr>
            <w:tcW w:w="961" w:type="dxa"/>
            <w:tcBorders>
              <w:top w:val="nil"/>
              <w:left w:val="nil"/>
              <w:bottom w:val="single" w:sz="8" w:space="0" w:color="auto"/>
              <w:right w:val="single" w:sz="8" w:space="0" w:color="auto"/>
            </w:tcBorders>
            <w:shd w:val="clear" w:color="auto" w:fill="FFFFFF" w:themeFill="background1"/>
            <w:noWrap/>
            <w:vAlign w:val="bottom"/>
            <w:hideMark/>
          </w:tcPr>
          <w:p w:rsidR="00056FED" w:rsidRPr="00056FED" w:rsidRDefault="00056FED" w:rsidP="00056FED">
            <w:pPr>
              <w:rPr>
                <w:rFonts w:ascii="Calibri" w:hAnsi="Calibri" w:cs="Calibri"/>
                <w:sz w:val="20"/>
                <w:szCs w:val="20"/>
              </w:rPr>
            </w:pPr>
            <w:r w:rsidRPr="00056FED">
              <w:rPr>
                <w:rFonts w:ascii="Calibri" w:hAnsi="Calibri" w:cs="Calibri"/>
                <w:sz w:val="20"/>
                <w:szCs w:val="20"/>
              </w:rPr>
              <w:t> </w:t>
            </w:r>
          </w:p>
        </w:tc>
        <w:tc>
          <w:tcPr>
            <w:tcW w:w="2159" w:type="dxa"/>
            <w:tcBorders>
              <w:top w:val="nil"/>
              <w:left w:val="nil"/>
              <w:bottom w:val="single" w:sz="8" w:space="0" w:color="auto"/>
              <w:right w:val="nil"/>
            </w:tcBorders>
            <w:shd w:val="clear" w:color="auto" w:fill="FFFFFF" w:themeFill="background1"/>
            <w:noWrap/>
            <w:vAlign w:val="center"/>
            <w:hideMark/>
          </w:tcPr>
          <w:p w:rsidR="00056FED" w:rsidRPr="00056FED" w:rsidRDefault="00056FED" w:rsidP="00056FED">
            <w:pPr>
              <w:rPr>
                <w:rFonts w:ascii="Calibri" w:hAnsi="Calibri" w:cs="Calibri"/>
                <w:sz w:val="20"/>
                <w:szCs w:val="20"/>
              </w:rPr>
            </w:pPr>
            <w:r w:rsidRPr="00056FED">
              <w:rPr>
                <w:rFonts w:ascii="Calibri" w:hAnsi="Calibri" w:cs="Calibri"/>
                <w:sz w:val="20"/>
                <w:szCs w:val="20"/>
              </w:rPr>
              <w:t> </w:t>
            </w:r>
          </w:p>
        </w:tc>
        <w:tc>
          <w:tcPr>
            <w:tcW w:w="960" w:type="dxa"/>
            <w:tcBorders>
              <w:top w:val="nil"/>
              <w:left w:val="nil"/>
              <w:bottom w:val="single" w:sz="8" w:space="0" w:color="auto"/>
              <w:right w:val="single" w:sz="8" w:space="0" w:color="auto"/>
            </w:tcBorders>
            <w:shd w:val="clear" w:color="auto" w:fill="FFFFFF" w:themeFill="background1"/>
            <w:noWrap/>
            <w:vAlign w:val="bottom"/>
            <w:hideMark/>
          </w:tcPr>
          <w:p w:rsidR="00056FED" w:rsidRPr="00056FED" w:rsidRDefault="00056FED" w:rsidP="00056FED">
            <w:pPr>
              <w:rPr>
                <w:rFonts w:ascii="Calibri" w:hAnsi="Calibri" w:cs="Calibri"/>
                <w:sz w:val="20"/>
                <w:szCs w:val="20"/>
              </w:rPr>
            </w:pPr>
            <w:r w:rsidRPr="00056FED">
              <w:rPr>
                <w:rFonts w:ascii="Calibri" w:hAnsi="Calibri" w:cs="Calibri"/>
                <w:sz w:val="20"/>
                <w:szCs w:val="20"/>
              </w:rPr>
              <w:t> </w:t>
            </w:r>
          </w:p>
        </w:tc>
        <w:tc>
          <w:tcPr>
            <w:tcW w:w="1842" w:type="dxa"/>
            <w:tcBorders>
              <w:top w:val="nil"/>
              <w:left w:val="nil"/>
              <w:bottom w:val="single" w:sz="8" w:space="0" w:color="auto"/>
              <w:right w:val="single" w:sz="8" w:space="0" w:color="auto"/>
            </w:tcBorders>
            <w:shd w:val="clear" w:color="auto" w:fill="auto"/>
            <w:noWrap/>
            <w:vAlign w:val="bottom"/>
            <w:hideMark/>
          </w:tcPr>
          <w:p w:rsidR="00056FED" w:rsidRPr="00056FED" w:rsidRDefault="00056FED" w:rsidP="00056FED">
            <w:pPr>
              <w:jc w:val="right"/>
              <w:rPr>
                <w:rFonts w:ascii="Calibri" w:hAnsi="Calibri" w:cs="Calibri"/>
                <w:sz w:val="20"/>
                <w:szCs w:val="20"/>
              </w:rPr>
            </w:pPr>
            <w:r w:rsidRPr="00056FED">
              <w:rPr>
                <w:rFonts w:ascii="Calibri" w:hAnsi="Calibri" w:cs="Calibri"/>
                <w:sz w:val="20"/>
                <w:szCs w:val="20"/>
              </w:rPr>
              <w:t>0,00</w:t>
            </w:r>
          </w:p>
        </w:tc>
      </w:tr>
    </w:tbl>
    <w:p w:rsidR="00062632" w:rsidRDefault="00062632" w:rsidP="00062632">
      <w:pPr>
        <w:pStyle w:val="Estndar"/>
        <w:ind w:right="-1"/>
        <w:jc w:val="both"/>
        <w:rPr>
          <w:rFonts w:ascii="Calibri" w:hAnsi="Calibri" w:cs="Calibri"/>
          <w:b/>
          <w:bCs/>
          <w:color w:val="0000FF"/>
          <w:sz w:val="22"/>
          <w:szCs w:val="22"/>
          <w:u w:val="single"/>
          <w:lang w:val="es-ES"/>
        </w:rPr>
      </w:pPr>
    </w:p>
    <w:p w:rsidR="00062632" w:rsidRPr="00C35C00" w:rsidRDefault="00062632" w:rsidP="00062632">
      <w:pPr>
        <w:pStyle w:val="Estndar"/>
        <w:ind w:right="-1"/>
        <w:jc w:val="both"/>
        <w:rPr>
          <w:rFonts w:ascii="Calibri" w:hAnsi="Calibri" w:cs="Calibri"/>
          <w:b/>
          <w:bCs/>
          <w:color w:val="0000FF"/>
          <w:sz w:val="22"/>
          <w:szCs w:val="22"/>
          <w:u w:val="single"/>
          <w:lang w:val="es-ES"/>
        </w:rPr>
      </w:pPr>
      <w:r w:rsidRPr="00C35C00">
        <w:rPr>
          <w:rFonts w:ascii="Calibri" w:hAnsi="Calibri" w:cs="Calibri"/>
          <w:b/>
          <w:bCs/>
          <w:color w:val="0000FF"/>
          <w:sz w:val="22"/>
          <w:szCs w:val="22"/>
          <w:u w:val="single"/>
          <w:lang w:val="es-ES"/>
        </w:rPr>
        <w:t>En el estado de Gastos:</w:t>
      </w:r>
    </w:p>
    <w:p w:rsidR="00062632" w:rsidRPr="00C35C00" w:rsidRDefault="00062632" w:rsidP="00062632">
      <w:pPr>
        <w:pStyle w:val="Estndar"/>
        <w:ind w:right="-1"/>
        <w:jc w:val="both"/>
        <w:rPr>
          <w:rFonts w:ascii="Calibri" w:hAnsi="Calibri" w:cs="Calibri"/>
          <w:b/>
          <w:bCs/>
          <w:color w:val="0000FF"/>
          <w:sz w:val="22"/>
          <w:szCs w:val="22"/>
          <w:u w:val="single"/>
          <w:lang w:val="es-ES"/>
        </w:rPr>
      </w:pPr>
    </w:p>
    <w:p w:rsidR="00062632" w:rsidRPr="00AF643B" w:rsidRDefault="00062632" w:rsidP="00062632">
      <w:pPr>
        <w:pStyle w:val="Estndar"/>
        <w:ind w:right="-1"/>
        <w:jc w:val="both"/>
        <w:rPr>
          <w:rFonts w:ascii="Calibri" w:hAnsi="Calibri" w:cs="Calibri"/>
          <w:bCs/>
          <w:i/>
          <w:sz w:val="20"/>
          <w:lang w:val="es-ES"/>
        </w:rPr>
      </w:pPr>
      <w:r w:rsidRPr="00C35C00">
        <w:rPr>
          <w:rFonts w:ascii="Calibri" w:hAnsi="Calibri" w:cs="Calibri"/>
          <w:b/>
          <w:sz w:val="22"/>
          <w:szCs w:val="22"/>
          <w:lang w:val="es-ES"/>
        </w:rPr>
        <w:t>● Ajuste por intereses devengados y no vencidos de préstamos (Cap.3</w:t>
      </w:r>
      <w:r w:rsidRPr="00AF643B">
        <w:rPr>
          <w:rFonts w:ascii="Calibri" w:hAnsi="Calibri" w:cs="Calibri"/>
          <w:b/>
          <w:sz w:val="20"/>
          <w:lang w:val="es-ES"/>
        </w:rPr>
        <w:t>)</w:t>
      </w:r>
      <w:r>
        <w:rPr>
          <w:rFonts w:ascii="Calibri" w:hAnsi="Calibri" w:cs="Calibri"/>
          <w:b/>
          <w:sz w:val="20"/>
          <w:lang w:val="es-ES"/>
        </w:rPr>
        <w:t xml:space="preserve"> </w:t>
      </w:r>
      <w:r w:rsidRPr="00AF643B">
        <w:rPr>
          <w:rFonts w:ascii="Calibri" w:hAnsi="Calibri" w:cs="Calibri"/>
          <w:bCs/>
          <w:i/>
          <w:sz w:val="20"/>
          <w:highlight w:val="lightGray"/>
          <w:lang w:val="es-ES"/>
        </w:rPr>
        <w:t>(Nota: Por aplicación del principio de importancia relativa, este ajuste puede que no se considere necesario realizar si es de escasa entidad- los ajustes se compensarían entre sí- y por tanto de escasa incidencia en la estabilidad)</w:t>
      </w:r>
    </w:p>
    <w:p w:rsidR="00062632" w:rsidRPr="00C35C00" w:rsidRDefault="00062632" w:rsidP="00062632">
      <w:pPr>
        <w:pStyle w:val="Estndar"/>
        <w:ind w:right="-1"/>
        <w:jc w:val="both"/>
        <w:rPr>
          <w:rFonts w:ascii="Calibri" w:hAnsi="Calibri" w:cs="Calibri"/>
          <w:bCs/>
          <w:sz w:val="22"/>
          <w:szCs w:val="22"/>
          <w:lang w:val="es-ES"/>
        </w:rPr>
      </w:pPr>
    </w:p>
    <w:p w:rsidR="00062632" w:rsidRPr="00C35C00" w:rsidRDefault="00062632" w:rsidP="00062632">
      <w:pPr>
        <w:pStyle w:val="Estndar"/>
        <w:spacing w:after="120"/>
        <w:jc w:val="both"/>
        <w:rPr>
          <w:rFonts w:ascii="Calibri" w:hAnsi="Calibri" w:cs="Calibri"/>
          <w:bCs/>
          <w:sz w:val="22"/>
          <w:szCs w:val="22"/>
          <w:lang w:val="es-ES"/>
        </w:rPr>
      </w:pPr>
      <w:r>
        <w:rPr>
          <w:rFonts w:ascii="Calibri" w:hAnsi="Calibri" w:cs="Calibri"/>
          <w:bCs/>
          <w:sz w:val="22"/>
          <w:szCs w:val="22"/>
          <w:lang w:val="es-ES"/>
        </w:rPr>
        <w:tab/>
      </w:r>
      <w:r w:rsidRPr="00C35C00">
        <w:rPr>
          <w:rFonts w:ascii="Calibri" w:hAnsi="Calibri" w:cs="Calibri"/>
          <w:bCs/>
          <w:sz w:val="22"/>
          <w:szCs w:val="22"/>
          <w:lang w:val="es-ES"/>
        </w:rPr>
        <w:t>En contabilidad nacional se contabilizan por el criterio de devengo  y en contabilidad presupuestaria se reconoce la obligación con el vencimiento.</w:t>
      </w:r>
    </w:p>
    <w:p w:rsidR="00062632" w:rsidRDefault="00062632" w:rsidP="00F12187">
      <w:pPr>
        <w:pStyle w:val="Estndar"/>
        <w:spacing w:after="120"/>
        <w:jc w:val="both"/>
        <w:rPr>
          <w:rFonts w:ascii="Calibri" w:hAnsi="Calibri" w:cs="Calibri"/>
          <w:bCs/>
          <w:sz w:val="22"/>
          <w:szCs w:val="22"/>
          <w:lang w:val="es-ES"/>
        </w:rPr>
      </w:pPr>
      <w:r>
        <w:rPr>
          <w:rFonts w:ascii="Calibri" w:hAnsi="Calibri" w:cs="Calibri"/>
          <w:bCs/>
          <w:sz w:val="22"/>
          <w:szCs w:val="22"/>
          <w:lang w:val="es-ES"/>
        </w:rPr>
        <w:tab/>
      </w:r>
      <w:r w:rsidRPr="000973AC">
        <w:rPr>
          <w:rFonts w:ascii="Calibri" w:hAnsi="Calibri" w:cs="Calibri"/>
          <w:bCs/>
          <w:sz w:val="22"/>
          <w:szCs w:val="22"/>
          <w:lang w:val="es-ES"/>
        </w:rPr>
        <w:t>Procede un ajuste negativo por los intereses devengados en el ejercicio n-1 y con vencimiento en el ejercicio n, y un ajuste positivo por los intereses devengados en el ejercicio n y con vencimiento en el ejercicio n+1.</w:t>
      </w:r>
    </w:p>
    <w:p w:rsidR="00062632" w:rsidRDefault="00062632" w:rsidP="006B58FB">
      <w:pPr>
        <w:jc w:val="center"/>
        <w:rPr>
          <w:rFonts w:ascii="Calibri" w:hAnsi="Calibri" w:cs="Calibri"/>
          <w:b/>
          <w:sz w:val="20"/>
          <w:szCs w:val="20"/>
          <w:lang w:eastAsia="en-US"/>
        </w:rPr>
      </w:pPr>
      <w:r w:rsidRPr="00AF643B">
        <w:rPr>
          <w:rFonts w:ascii="Calibri" w:hAnsi="Calibri" w:cs="Calibri"/>
          <w:b/>
          <w:sz w:val="20"/>
          <w:szCs w:val="20"/>
          <w:lang w:eastAsia="en-US"/>
        </w:rPr>
        <w:t>(</w:t>
      </w:r>
      <w:r w:rsidRPr="00AF643B">
        <w:rPr>
          <w:rFonts w:ascii="Calibri" w:hAnsi="Calibri" w:cs="Calibri"/>
          <w:b/>
          <w:sz w:val="20"/>
          <w:szCs w:val="20"/>
          <w:highlight w:val="lightGray"/>
          <w:lang w:eastAsia="en-US"/>
        </w:rPr>
        <w:t>Utilizar la hoja Excel de Ajustes Estabilidad y copiar la tabla "AJUSTE  POR INTERESES Cap.3")</w:t>
      </w:r>
    </w:p>
    <w:p w:rsidR="00056FED" w:rsidRPr="00AF643B" w:rsidRDefault="00056FED" w:rsidP="00062632">
      <w:pPr>
        <w:jc w:val="both"/>
        <w:rPr>
          <w:rFonts w:ascii="Calibri" w:hAnsi="Calibri" w:cs="Calibri"/>
          <w:b/>
          <w:sz w:val="20"/>
          <w:szCs w:val="20"/>
          <w:lang w:eastAsia="en-US"/>
        </w:rPr>
      </w:pPr>
    </w:p>
    <w:tbl>
      <w:tblPr>
        <w:tblW w:w="9142" w:type="dxa"/>
        <w:tblCellMar>
          <w:left w:w="70" w:type="dxa"/>
          <w:right w:w="70" w:type="dxa"/>
        </w:tblCellMar>
        <w:tblLook w:val="04A0" w:firstRow="1" w:lastRow="0" w:firstColumn="1" w:lastColumn="0" w:noHBand="0" w:noVBand="1"/>
      </w:tblPr>
      <w:tblGrid>
        <w:gridCol w:w="2055"/>
        <w:gridCol w:w="1559"/>
        <w:gridCol w:w="2126"/>
        <w:gridCol w:w="1418"/>
        <w:gridCol w:w="1984"/>
      </w:tblGrid>
      <w:tr w:rsidR="00056FED" w:rsidRPr="002E2388" w:rsidTr="00102129">
        <w:trPr>
          <w:trHeight w:val="765"/>
        </w:trPr>
        <w:tc>
          <w:tcPr>
            <w:tcW w:w="3614" w:type="dxa"/>
            <w:gridSpan w:val="2"/>
            <w:tcBorders>
              <w:top w:val="single" w:sz="8" w:space="0" w:color="auto"/>
              <w:left w:val="single" w:sz="8" w:space="0" w:color="auto"/>
              <w:bottom w:val="single" w:sz="8" w:space="0" w:color="auto"/>
              <w:right w:val="single" w:sz="8" w:space="0" w:color="auto"/>
            </w:tcBorders>
            <w:shd w:val="clear" w:color="auto" w:fill="auto"/>
            <w:hideMark/>
          </w:tcPr>
          <w:p w:rsidR="00056FED" w:rsidRPr="002E2388" w:rsidRDefault="00056FED" w:rsidP="00E854EF">
            <w:pPr>
              <w:spacing w:before="120"/>
              <w:jc w:val="center"/>
              <w:rPr>
                <w:rFonts w:ascii="Calibri" w:hAnsi="Calibri" w:cs="Calibri"/>
                <w:color w:val="000000"/>
                <w:sz w:val="20"/>
                <w:szCs w:val="20"/>
              </w:rPr>
            </w:pPr>
            <w:r w:rsidRPr="002E2388">
              <w:rPr>
                <w:rFonts w:ascii="Calibri" w:hAnsi="Calibri" w:cs="Calibri"/>
                <w:color w:val="000000"/>
                <w:sz w:val="20"/>
                <w:szCs w:val="20"/>
              </w:rPr>
              <w:t xml:space="preserve">Intereses devengados en </w:t>
            </w:r>
            <w:r w:rsidRPr="002E2388">
              <w:rPr>
                <w:rFonts w:ascii="Calibri" w:hAnsi="Calibri" w:cs="Calibri"/>
                <w:color w:val="0033CC"/>
                <w:sz w:val="20"/>
                <w:szCs w:val="20"/>
              </w:rPr>
              <w:t>20</w:t>
            </w:r>
            <w:r w:rsidR="008D0F32">
              <w:rPr>
                <w:rFonts w:ascii="Calibri" w:hAnsi="Calibri" w:cs="Calibri"/>
                <w:color w:val="0033CC"/>
                <w:sz w:val="20"/>
                <w:szCs w:val="20"/>
              </w:rPr>
              <w:t>2</w:t>
            </w:r>
            <w:r w:rsidR="00E854EF">
              <w:rPr>
                <w:rFonts w:ascii="Calibri" w:hAnsi="Calibri" w:cs="Calibri"/>
                <w:color w:val="0033CC"/>
                <w:sz w:val="20"/>
                <w:szCs w:val="20"/>
              </w:rPr>
              <w:t>2</w:t>
            </w:r>
            <w:r w:rsidRPr="002E2388">
              <w:rPr>
                <w:rFonts w:ascii="Calibri" w:hAnsi="Calibri" w:cs="Calibri"/>
                <w:color w:val="000000"/>
                <w:sz w:val="20"/>
                <w:szCs w:val="20"/>
              </w:rPr>
              <w:t xml:space="preserve">                                                con vencimiento en </w:t>
            </w:r>
            <w:r w:rsidRPr="002E2388">
              <w:rPr>
                <w:rFonts w:ascii="Calibri" w:hAnsi="Calibri" w:cs="Calibri"/>
                <w:color w:val="0033CC"/>
                <w:sz w:val="20"/>
                <w:szCs w:val="20"/>
              </w:rPr>
              <w:t>20</w:t>
            </w:r>
            <w:r w:rsidR="002E2388" w:rsidRPr="002E2388">
              <w:rPr>
                <w:rFonts w:ascii="Calibri" w:hAnsi="Calibri" w:cs="Calibri"/>
                <w:color w:val="0033CC"/>
                <w:sz w:val="20"/>
                <w:szCs w:val="20"/>
              </w:rPr>
              <w:t>2</w:t>
            </w:r>
            <w:r w:rsidR="00E854EF">
              <w:rPr>
                <w:rFonts w:ascii="Calibri" w:hAnsi="Calibri" w:cs="Calibri"/>
                <w:color w:val="0033CC"/>
                <w:sz w:val="20"/>
                <w:szCs w:val="20"/>
              </w:rPr>
              <w:t>3</w:t>
            </w:r>
          </w:p>
        </w:tc>
        <w:tc>
          <w:tcPr>
            <w:tcW w:w="3544" w:type="dxa"/>
            <w:gridSpan w:val="2"/>
            <w:tcBorders>
              <w:top w:val="single" w:sz="8" w:space="0" w:color="auto"/>
              <w:left w:val="nil"/>
              <w:bottom w:val="single" w:sz="8" w:space="0" w:color="auto"/>
              <w:right w:val="single" w:sz="8" w:space="0" w:color="auto"/>
            </w:tcBorders>
            <w:shd w:val="clear" w:color="auto" w:fill="auto"/>
            <w:hideMark/>
          </w:tcPr>
          <w:p w:rsidR="00056FED" w:rsidRPr="002E2388" w:rsidRDefault="00056FED" w:rsidP="00E854EF">
            <w:pPr>
              <w:spacing w:before="120"/>
              <w:jc w:val="center"/>
              <w:rPr>
                <w:rFonts w:ascii="Calibri" w:hAnsi="Calibri" w:cs="Calibri"/>
                <w:color w:val="000000"/>
                <w:sz w:val="20"/>
                <w:szCs w:val="20"/>
              </w:rPr>
            </w:pPr>
            <w:r w:rsidRPr="002E2388">
              <w:rPr>
                <w:rFonts w:ascii="Calibri" w:hAnsi="Calibri" w:cs="Calibri"/>
                <w:color w:val="000000"/>
                <w:sz w:val="20"/>
                <w:szCs w:val="20"/>
              </w:rPr>
              <w:t xml:space="preserve">Intereses devengados en </w:t>
            </w:r>
            <w:r w:rsidRPr="002E2388">
              <w:rPr>
                <w:rFonts w:ascii="Calibri" w:hAnsi="Calibri" w:cs="Calibri"/>
                <w:color w:val="0033CC"/>
                <w:sz w:val="20"/>
                <w:szCs w:val="20"/>
              </w:rPr>
              <w:t>20</w:t>
            </w:r>
            <w:r w:rsidR="002E2388" w:rsidRPr="002E2388">
              <w:rPr>
                <w:rFonts w:ascii="Calibri" w:hAnsi="Calibri" w:cs="Calibri"/>
                <w:color w:val="0033CC"/>
                <w:sz w:val="20"/>
                <w:szCs w:val="20"/>
              </w:rPr>
              <w:t>2</w:t>
            </w:r>
            <w:r w:rsidR="00E854EF">
              <w:rPr>
                <w:rFonts w:ascii="Calibri" w:hAnsi="Calibri" w:cs="Calibri"/>
                <w:color w:val="0033CC"/>
                <w:sz w:val="20"/>
                <w:szCs w:val="20"/>
              </w:rPr>
              <w:t>3</w:t>
            </w:r>
            <w:r w:rsidRPr="002E2388">
              <w:rPr>
                <w:rFonts w:ascii="Calibri" w:hAnsi="Calibri" w:cs="Calibri"/>
                <w:color w:val="000000"/>
                <w:sz w:val="20"/>
                <w:szCs w:val="20"/>
              </w:rPr>
              <w:t xml:space="preserve">                                con vencimiento en </w:t>
            </w:r>
            <w:r w:rsidRPr="002E2388">
              <w:rPr>
                <w:rFonts w:ascii="Calibri" w:hAnsi="Calibri" w:cs="Calibri"/>
                <w:color w:val="0033CC"/>
                <w:sz w:val="20"/>
                <w:szCs w:val="20"/>
              </w:rPr>
              <w:t>20</w:t>
            </w:r>
            <w:r w:rsidR="00296F90" w:rsidRPr="002E2388">
              <w:rPr>
                <w:rFonts w:ascii="Calibri" w:hAnsi="Calibri" w:cs="Calibri"/>
                <w:color w:val="0033CC"/>
                <w:sz w:val="20"/>
                <w:szCs w:val="20"/>
              </w:rPr>
              <w:t>2</w:t>
            </w:r>
            <w:r w:rsidR="00E854EF">
              <w:rPr>
                <w:rFonts w:ascii="Calibri" w:hAnsi="Calibri" w:cs="Calibri"/>
                <w:color w:val="0033CC"/>
                <w:sz w:val="20"/>
                <w:szCs w:val="20"/>
              </w:rPr>
              <w:t>4</w:t>
            </w:r>
          </w:p>
        </w:tc>
        <w:tc>
          <w:tcPr>
            <w:tcW w:w="1984" w:type="dxa"/>
            <w:tcBorders>
              <w:top w:val="single" w:sz="8" w:space="0" w:color="auto"/>
              <w:left w:val="nil"/>
              <w:bottom w:val="single" w:sz="8" w:space="0" w:color="auto"/>
              <w:right w:val="single" w:sz="8" w:space="0" w:color="auto"/>
            </w:tcBorders>
            <w:shd w:val="clear" w:color="auto" w:fill="auto"/>
            <w:hideMark/>
          </w:tcPr>
          <w:p w:rsidR="00056FED" w:rsidRPr="002E2388" w:rsidRDefault="00056FED" w:rsidP="00E854EF">
            <w:pPr>
              <w:spacing w:before="240"/>
              <w:jc w:val="center"/>
              <w:rPr>
                <w:rFonts w:ascii="Calibri" w:hAnsi="Calibri" w:cs="Calibri"/>
                <w:b/>
                <w:bCs/>
                <w:color w:val="0033CC"/>
                <w:sz w:val="20"/>
                <w:szCs w:val="20"/>
              </w:rPr>
            </w:pPr>
            <w:r w:rsidRPr="002E2388">
              <w:rPr>
                <w:rFonts w:ascii="Calibri" w:hAnsi="Calibri" w:cs="Calibri"/>
                <w:b/>
                <w:bCs/>
                <w:color w:val="0033CC"/>
                <w:sz w:val="20"/>
                <w:szCs w:val="20"/>
              </w:rPr>
              <w:t>Ajuste</w:t>
            </w:r>
          </w:p>
        </w:tc>
      </w:tr>
      <w:tr w:rsidR="00056FED" w:rsidRPr="00056FED" w:rsidTr="00102129">
        <w:trPr>
          <w:trHeight w:val="300"/>
        </w:trPr>
        <w:tc>
          <w:tcPr>
            <w:tcW w:w="2055" w:type="dxa"/>
            <w:tcBorders>
              <w:top w:val="nil"/>
              <w:left w:val="nil"/>
              <w:bottom w:val="nil"/>
              <w:right w:val="single" w:sz="8" w:space="0" w:color="auto"/>
            </w:tcBorders>
            <w:shd w:val="clear" w:color="auto" w:fill="auto"/>
            <w:hideMark/>
          </w:tcPr>
          <w:p w:rsidR="00056FED" w:rsidRPr="002E2388" w:rsidRDefault="00056FED" w:rsidP="00056FED">
            <w:pPr>
              <w:rPr>
                <w:rFonts w:ascii="Calibri" w:hAnsi="Calibri" w:cs="Calibri"/>
                <w:color w:val="000000"/>
                <w:sz w:val="20"/>
                <w:szCs w:val="20"/>
              </w:rPr>
            </w:pPr>
            <w:r w:rsidRPr="002E2388">
              <w:rPr>
                <w:rFonts w:ascii="Calibri" w:hAnsi="Calibri" w:cs="Calibri"/>
                <w:color w:val="000000"/>
                <w:sz w:val="20"/>
                <w:szCs w:val="20"/>
              </w:rPr>
              <w:t> </w:t>
            </w:r>
          </w:p>
        </w:tc>
        <w:tc>
          <w:tcPr>
            <w:tcW w:w="1559" w:type="dxa"/>
            <w:tcBorders>
              <w:top w:val="nil"/>
              <w:left w:val="nil"/>
              <w:bottom w:val="single" w:sz="8" w:space="0" w:color="auto"/>
              <w:right w:val="single" w:sz="8" w:space="0" w:color="auto"/>
            </w:tcBorders>
            <w:shd w:val="clear" w:color="auto" w:fill="FFFFFF" w:themeFill="background1"/>
            <w:noWrap/>
            <w:vAlign w:val="bottom"/>
            <w:hideMark/>
          </w:tcPr>
          <w:p w:rsidR="00056FED" w:rsidRPr="002E2388" w:rsidRDefault="00056FED" w:rsidP="00056FED">
            <w:pPr>
              <w:rPr>
                <w:rFonts w:ascii="Calibri" w:hAnsi="Calibri" w:cs="Calibri"/>
                <w:color w:val="000000"/>
                <w:sz w:val="20"/>
                <w:szCs w:val="20"/>
              </w:rPr>
            </w:pPr>
            <w:r w:rsidRPr="002E2388">
              <w:rPr>
                <w:rFonts w:ascii="Calibri" w:hAnsi="Calibri" w:cs="Calibri"/>
                <w:color w:val="000000"/>
                <w:sz w:val="20"/>
                <w:szCs w:val="20"/>
              </w:rPr>
              <w:t> </w:t>
            </w:r>
          </w:p>
        </w:tc>
        <w:tc>
          <w:tcPr>
            <w:tcW w:w="2126" w:type="dxa"/>
            <w:tcBorders>
              <w:top w:val="nil"/>
              <w:left w:val="nil"/>
              <w:bottom w:val="nil"/>
              <w:right w:val="nil"/>
            </w:tcBorders>
            <w:shd w:val="clear" w:color="auto" w:fill="auto"/>
            <w:noWrap/>
            <w:vAlign w:val="bottom"/>
            <w:hideMark/>
          </w:tcPr>
          <w:p w:rsidR="00056FED" w:rsidRPr="002E2388" w:rsidRDefault="00056FED" w:rsidP="00056FED">
            <w:pPr>
              <w:rPr>
                <w:rFonts w:ascii="Calibri" w:hAnsi="Calibri" w:cs="Calibri"/>
                <w:color w:val="000000"/>
                <w:sz w:val="20"/>
                <w:szCs w:val="20"/>
              </w:rPr>
            </w:pPr>
          </w:p>
        </w:tc>
        <w:tc>
          <w:tcPr>
            <w:tcW w:w="1418"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056FED" w:rsidRPr="002E2388" w:rsidRDefault="00056FED" w:rsidP="00056FED">
            <w:pPr>
              <w:rPr>
                <w:rFonts w:ascii="Calibri" w:hAnsi="Calibri" w:cs="Calibri"/>
                <w:color w:val="000000"/>
                <w:sz w:val="20"/>
                <w:szCs w:val="20"/>
              </w:rPr>
            </w:pPr>
            <w:r w:rsidRPr="002E2388">
              <w:rPr>
                <w:rFonts w:ascii="Calibri" w:hAnsi="Calibri" w:cs="Calibri"/>
                <w:color w:val="000000"/>
                <w:sz w:val="20"/>
                <w:szCs w:val="20"/>
              </w:rPr>
              <w:t> </w:t>
            </w:r>
          </w:p>
        </w:tc>
        <w:tc>
          <w:tcPr>
            <w:tcW w:w="1984" w:type="dxa"/>
            <w:tcBorders>
              <w:top w:val="nil"/>
              <w:left w:val="nil"/>
              <w:bottom w:val="single" w:sz="8" w:space="0" w:color="auto"/>
              <w:right w:val="single" w:sz="8" w:space="0" w:color="auto"/>
            </w:tcBorders>
            <w:shd w:val="clear" w:color="auto" w:fill="auto"/>
            <w:noWrap/>
            <w:vAlign w:val="bottom"/>
            <w:hideMark/>
          </w:tcPr>
          <w:p w:rsidR="00056FED" w:rsidRPr="00056FED" w:rsidRDefault="00056FED" w:rsidP="00056FED">
            <w:pPr>
              <w:jc w:val="right"/>
              <w:rPr>
                <w:rFonts w:ascii="Calibri" w:hAnsi="Calibri" w:cs="Calibri"/>
                <w:b/>
                <w:bCs/>
                <w:color w:val="0033CC"/>
                <w:sz w:val="20"/>
                <w:szCs w:val="20"/>
              </w:rPr>
            </w:pPr>
            <w:r w:rsidRPr="002E2388">
              <w:rPr>
                <w:rFonts w:ascii="Calibri" w:hAnsi="Calibri" w:cs="Calibri"/>
                <w:b/>
                <w:bCs/>
                <w:color w:val="0033CC"/>
                <w:sz w:val="20"/>
                <w:szCs w:val="20"/>
              </w:rPr>
              <w:t>0,00</w:t>
            </w:r>
          </w:p>
        </w:tc>
      </w:tr>
    </w:tbl>
    <w:p w:rsidR="00062632" w:rsidRPr="00C35C00" w:rsidRDefault="00062632" w:rsidP="00062632">
      <w:pPr>
        <w:pStyle w:val="Estndar"/>
        <w:ind w:right="-1"/>
        <w:jc w:val="both"/>
        <w:rPr>
          <w:rFonts w:ascii="Calibri" w:hAnsi="Calibri" w:cs="Calibri"/>
          <w:bCs/>
          <w:sz w:val="22"/>
          <w:szCs w:val="22"/>
          <w:lang w:val="es-ES"/>
        </w:rPr>
      </w:pPr>
    </w:p>
    <w:p w:rsidR="00062632" w:rsidRPr="00C35C00" w:rsidRDefault="00062632" w:rsidP="00062632">
      <w:pPr>
        <w:ind w:right="-1"/>
        <w:jc w:val="both"/>
        <w:rPr>
          <w:rFonts w:ascii="Calibri" w:hAnsi="Calibri" w:cs="Calibri"/>
          <w:sz w:val="22"/>
          <w:szCs w:val="22"/>
        </w:rPr>
      </w:pPr>
      <w:r w:rsidRPr="00C35C00">
        <w:rPr>
          <w:rFonts w:ascii="Calibri" w:hAnsi="Calibri" w:cs="Calibri"/>
          <w:b/>
          <w:sz w:val="22"/>
          <w:szCs w:val="22"/>
        </w:rPr>
        <w:t>● Ajuste por Gastos realizados en el ejercicio pendientes de aplicar al presupuesto</w:t>
      </w:r>
    </w:p>
    <w:p w:rsidR="00062632" w:rsidRPr="00C35C00" w:rsidRDefault="00062632" w:rsidP="00062632">
      <w:pPr>
        <w:ind w:right="-1"/>
        <w:jc w:val="both"/>
        <w:rPr>
          <w:rFonts w:ascii="Calibri" w:hAnsi="Calibri" w:cs="Calibri"/>
          <w:sz w:val="22"/>
          <w:szCs w:val="22"/>
        </w:rPr>
      </w:pPr>
    </w:p>
    <w:p w:rsidR="00062632" w:rsidRPr="00C35C00" w:rsidRDefault="00062632" w:rsidP="00062632">
      <w:pPr>
        <w:spacing w:after="120"/>
        <w:jc w:val="both"/>
        <w:rPr>
          <w:rFonts w:ascii="Calibri" w:hAnsi="Calibri" w:cs="Calibri"/>
          <w:sz w:val="22"/>
          <w:szCs w:val="22"/>
        </w:rPr>
      </w:pPr>
      <w:r>
        <w:rPr>
          <w:rFonts w:ascii="Calibri" w:hAnsi="Calibri" w:cs="Calibri"/>
          <w:sz w:val="22"/>
          <w:szCs w:val="22"/>
        </w:rPr>
        <w:tab/>
      </w:r>
      <w:r w:rsidRPr="00C35C00">
        <w:rPr>
          <w:rFonts w:ascii="Calibri" w:hAnsi="Calibri" w:cs="Calibri"/>
          <w:sz w:val="22"/>
          <w:szCs w:val="22"/>
        </w:rPr>
        <w:t xml:space="preserve">La aplicación del principio de devengo del Sistema Europeo de Cuentas implica la imputación de cualquier gasto efectivamente realizado con independencia del momento en que se decida su imputación presupuestaria. </w:t>
      </w:r>
    </w:p>
    <w:p w:rsidR="00A37EFD" w:rsidRPr="00596181" w:rsidRDefault="00062632" w:rsidP="00A37EFD">
      <w:pPr>
        <w:spacing w:after="120"/>
        <w:jc w:val="both"/>
        <w:rPr>
          <w:rFonts w:cs="Calibri"/>
          <w:highlight w:val="magenta"/>
        </w:rPr>
      </w:pPr>
      <w:r>
        <w:rPr>
          <w:rFonts w:ascii="Calibri" w:hAnsi="Calibri" w:cs="Calibri"/>
          <w:sz w:val="22"/>
          <w:szCs w:val="22"/>
        </w:rPr>
        <w:tab/>
      </w:r>
      <w:r w:rsidRPr="00C35C00">
        <w:rPr>
          <w:rFonts w:ascii="Calibri" w:hAnsi="Calibri" w:cs="Calibri"/>
          <w:sz w:val="22"/>
          <w:szCs w:val="22"/>
        </w:rPr>
        <w:t>Si el saldo final de la cuenta 413 “Acreedores por operaciones</w:t>
      </w:r>
      <w:r w:rsidR="00296F90">
        <w:rPr>
          <w:rFonts w:ascii="Calibri" w:hAnsi="Calibri" w:cs="Calibri"/>
          <w:sz w:val="22"/>
          <w:szCs w:val="22"/>
        </w:rPr>
        <w:t xml:space="preserve"> devengadas</w:t>
      </w:r>
      <w:r w:rsidRPr="00C35C00">
        <w:rPr>
          <w:rFonts w:ascii="Calibri" w:hAnsi="Calibri" w:cs="Calibri"/>
          <w:sz w:val="22"/>
          <w:szCs w:val="22"/>
        </w:rPr>
        <w:t>” es mayor (menor) al inicial se efectuará un ajuste como mayor (menor) gasto no financiero, aumentando (disminuyendo) el déficit no financiero.</w:t>
      </w:r>
    </w:p>
    <w:p w:rsidR="00A37EFD" w:rsidRPr="00F12187" w:rsidRDefault="00A37EFD" w:rsidP="00A37EFD">
      <w:pPr>
        <w:spacing w:after="120"/>
        <w:jc w:val="both"/>
        <w:rPr>
          <w:rFonts w:asciiTheme="minorHAnsi" w:hAnsiTheme="minorHAnsi" w:cstheme="minorHAnsi"/>
          <w:i/>
          <w:sz w:val="22"/>
          <w:szCs w:val="22"/>
          <w:highlight w:val="lightGray"/>
        </w:rPr>
      </w:pPr>
      <w:r>
        <w:rPr>
          <w:rFonts w:ascii="Calibri" w:hAnsi="Calibri" w:cs="Calibri"/>
          <w:sz w:val="22"/>
          <w:szCs w:val="22"/>
        </w:rPr>
        <w:tab/>
      </w:r>
      <w:r w:rsidR="00062632" w:rsidRPr="00C35C00">
        <w:rPr>
          <w:rFonts w:ascii="Calibri" w:hAnsi="Calibri" w:cs="Calibri"/>
          <w:sz w:val="22"/>
          <w:szCs w:val="22"/>
        </w:rPr>
        <w:t>En su caso deberá considerarse el saldo de la cuenta 555 por pagos pendientes de aplicación</w:t>
      </w:r>
      <w:r w:rsidRPr="00F12187">
        <w:rPr>
          <w:rFonts w:asciiTheme="minorHAnsi" w:hAnsiTheme="minorHAnsi" w:cstheme="minorHAnsi"/>
          <w:i/>
          <w:sz w:val="22"/>
          <w:szCs w:val="22"/>
          <w:highlight w:val="lightGray"/>
        </w:rPr>
        <w:t>.</w:t>
      </w:r>
      <w:r w:rsidR="009628EB">
        <w:rPr>
          <w:rFonts w:asciiTheme="minorHAnsi" w:hAnsiTheme="minorHAnsi" w:cstheme="minorHAnsi"/>
          <w:i/>
          <w:sz w:val="22"/>
          <w:szCs w:val="22"/>
          <w:highlight w:val="lightGray"/>
        </w:rPr>
        <w:t xml:space="preserve"> (</w:t>
      </w:r>
      <w:r w:rsidRPr="00F12187">
        <w:rPr>
          <w:rFonts w:asciiTheme="minorHAnsi" w:hAnsiTheme="minorHAnsi" w:cstheme="minorHAnsi"/>
          <w:i/>
          <w:sz w:val="22"/>
          <w:szCs w:val="22"/>
          <w:highlight w:val="lightGray"/>
        </w:rPr>
        <w:t>sólo se recogerán los pagos que no se han reflejado en la cuenta 413</w:t>
      </w:r>
      <w:r w:rsidR="009628EB" w:rsidRPr="00F12187">
        <w:rPr>
          <w:rFonts w:asciiTheme="minorHAnsi" w:hAnsiTheme="minorHAnsi" w:cstheme="minorHAnsi"/>
          <w:i/>
          <w:sz w:val="22"/>
          <w:szCs w:val="22"/>
          <w:highlight w:val="lightGray"/>
        </w:rPr>
        <w:t>) (</w:t>
      </w:r>
      <w:r w:rsidRPr="00F12187">
        <w:rPr>
          <w:rFonts w:asciiTheme="minorHAnsi" w:hAnsiTheme="minorHAnsi" w:cstheme="minorHAnsi"/>
          <w:i/>
          <w:sz w:val="22"/>
          <w:szCs w:val="22"/>
          <w:highlight w:val="lightGray"/>
        </w:rPr>
        <w:t xml:space="preserve">Este Ajuste aparecerá reflejado en el </w:t>
      </w:r>
      <w:r w:rsidR="009628EB" w:rsidRPr="00F12187">
        <w:rPr>
          <w:rFonts w:asciiTheme="minorHAnsi" w:hAnsiTheme="minorHAnsi" w:cstheme="minorHAnsi"/>
          <w:i/>
          <w:sz w:val="22"/>
          <w:szCs w:val="22"/>
          <w:highlight w:val="lightGray"/>
        </w:rPr>
        <w:t>apartado “</w:t>
      </w:r>
      <w:r w:rsidRPr="00F12187">
        <w:rPr>
          <w:rFonts w:asciiTheme="minorHAnsi" w:hAnsiTheme="minorHAnsi" w:cstheme="minorHAnsi"/>
          <w:i/>
          <w:sz w:val="22"/>
          <w:szCs w:val="22"/>
          <w:highlight w:val="lightGray"/>
        </w:rPr>
        <w:t>Otros” en la EP)</w:t>
      </w:r>
    </w:p>
    <w:p w:rsidR="00062632" w:rsidRDefault="00062632" w:rsidP="004A1BDD">
      <w:pPr>
        <w:jc w:val="center"/>
        <w:rPr>
          <w:rFonts w:ascii="Calibri" w:hAnsi="Calibri" w:cs="Calibri"/>
          <w:b/>
          <w:sz w:val="20"/>
          <w:szCs w:val="20"/>
          <w:lang w:eastAsia="en-US"/>
        </w:rPr>
      </w:pPr>
      <w:r w:rsidRPr="00AF643B">
        <w:rPr>
          <w:rFonts w:ascii="Calibri" w:hAnsi="Calibri" w:cs="Calibri"/>
          <w:b/>
          <w:sz w:val="20"/>
          <w:szCs w:val="20"/>
          <w:highlight w:val="lightGray"/>
          <w:lang w:eastAsia="en-US"/>
        </w:rPr>
        <w:t>(Utilizar la hoja Excel de Ajustes Estabilidad y copiar la tabla  "AJUSTE POR GASTOS PENDIENTES DE APLICAR A PRESUPUESTO")</w:t>
      </w:r>
    </w:p>
    <w:p w:rsidR="00A32AA6" w:rsidRDefault="00A32AA6" w:rsidP="00062632">
      <w:pPr>
        <w:jc w:val="both"/>
        <w:rPr>
          <w:rFonts w:ascii="Calibri" w:hAnsi="Calibri" w:cs="Calibri"/>
          <w:b/>
          <w:sz w:val="20"/>
          <w:szCs w:val="20"/>
          <w:lang w:eastAsia="en-US"/>
        </w:rPr>
      </w:pPr>
    </w:p>
    <w:tbl>
      <w:tblPr>
        <w:tblW w:w="9360" w:type="dxa"/>
        <w:tblInd w:w="60" w:type="dxa"/>
        <w:tblCellMar>
          <w:left w:w="70" w:type="dxa"/>
          <w:right w:w="70" w:type="dxa"/>
        </w:tblCellMar>
        <w:tblLook w:val="04A0" w:firstRow="1" w:lastRow="0" w:firstColumn="1" w:lastColumn="0" w:noHBand="0" w:noVBand="1"/>
      </w:tblPr>
      <w:tblGrid>
        <w:gridCol w:w="3060"/>
        <w:gridCol w:w="1820"/>
        <w:gridCol w:w="2460"/>
        <w:gridCol w:w="2020"/>
      </w:tblGrid>
      <w:tr w:rsidR="00A32AA6" w:rsidRPr="000E7FA4" w:rsidTr="002D3EE6">
        <w:trPr>
          <w:trHeight w:val="615"/>
        </w:trPr>
        <w:tc>
          <w:tcPr>
            <w:tcW w:w="3060" w:type="dxa"/>
            <w:tcBorders>
              <w:bottom w:val="single" w:sz="8" w:space="0" w:color="auto"/>
              <w:right w:val="single" w:sz="8" w:space="0" w:color="auto"/>
            </w:tcBorders>
            <w:shd w:val="clear" w:color="000000" w:fill="FFFFFF"/>
            <w:hideMark/>
          </w:tcPr>
          <w:p w:rsidR="00A32AA6" w:rsidRPr="00A32AA6" w:rsidRDefault="00A32AA6" w:rsidP="00A32AA6">
            <w:pPr>
              <w:rPr>
                <w:rFonts w:ascii="Calibri" w:hAnsi="Calibri" w:cs="Calibri"/>
                <w:color w:val="000000"/>
                <w:sz w:val="20"/>
                <w:szCs w:val="20"/>
              </w:rPr>
            </w:pPr>
            <w:r w:rsidRPr="00A32AA6">
              <w:rPr>
                <w:rFonts w:ascii="Calibri" w:hAnsi="Calibri" w:cs="Calibri"/>
                <w:color w:val="000000"/>
                <w:sz w:val="20"/>
                <w:szCs w:val="20"/>
              </w:rPr>
              <w:t> </w:t>
            </w:r>
          </w:p>
        </w:tc>
        <w:tc>
          <w:tcPr>
            <w:tcW w:w="1820" w:type="dxa"/>
            <w:tcBorders>
              <w:top w:val="single" w:sz="8" w:space="0" w:color="auto"/>
              <w:left w:val="nil"/>
              <w:bottom w:val="single" w:sz="8" w:space="0" w:color="auto"/>
              <w:right w:val="single" w:sz="8" w:space="0" w:color="auto"/>
            </w:tcBorders>
            <w:shd w:val="clear" w:color="000000" w:fill="FFFFFF"/>
            <w:hideMark/>
          </w:tcPr>
          <w:p w:rsidR="002D3EE6" w:rsidRDefault="00A32AA6" w:rsidP="002D3EE6">
            <w:pPr>
              <w:spacing w:before="60"/>
              <w:jc w:val="center"/>
              <w:rPr>
                <w:rFonts w:ascii="Calibri" w:hAnsi="Calibri" w:cs="Calibri"/>
                <w:color w:val="000000"/>
                <w:sz w:val="20"/>
                <w:szCs w:val="20"/>
              </w:rPr>
            </w:pPr>
            <w:r w:rsidRPr="000E7FA4">
              <w:rPr>
                <w:rFonts w:ascii="Calibri" w:hAnsi="Calibri" w:cs="Calibri"/>
                <w:color w:val="000000"/>
                <w:sz w:val="20"/>
                <w:szCs w:val="20"/>
              </w:rPr>
              <w:t>Saldo</w:t>
            </w:r>
            <w:r w:rsidR="002D3EE6">
              <w:rPr>
                <w:rFonts w:ascii="Calibri" w:hAnsi="Calibri" w:cs="Calibri"/>
                <w:color w:val="000000"/>
                <w:sz w:val="20"/>
                <w:szCs w:val="20"/>
              </w:rPr>
              <w:t xml:space="preserve"> a</w:t>
            </w:r>
          </w:p>
          <w:p w:rsidR="00A32AA6" w:rsidRPr="000E7FA4" w:rsidRDefault="00A32AA6" w:rsidP="002D3EE6">
            <w:pPr>
              <w:jc w:val="center"/>
              <w:rPr>
                <w:rFonts w:ascii="Calibri" w:hAnsi="Calibri" w:cs="Calibri"/>
                <w:color w:val="000000"/>
                <w:sz w:val="20"/>
                <w:szCs w:val="20"/>
              </w:rPr>
            </w:pPr>
            <w:r w:rsidRPr="000E7FA4">
              <w:rPr>
                <w:rFonts w:ascii="Calibri" w:hAnsi="Calibri" w:cs="Calibri"/>
                <w:color w:val="000000"/>
                <w:sz w:val="20"/>
                <w:szCs w:val="20"/>
              </w:rPr>
              <w:t xml:space="preserve">1 de enero de </w:t>
            </w:r>
            <w:r w:rsidRPr="000E7FA4">
              <w:rPr>
                <w:rFonts w:ascii="Calibri" w:hAnsi="Calibri" w:cs="Calibri"/>
                <w:color w:val="0033CC"/>
                <w:sz w:val="20"/>
                <w:szCs w:val="20"/>
              </w:rPr>
              <w:t>20</w:t>
            </w:r>
            <w:r w:rsidR="000E7FA4" w:rsidRPr="000E7FA4">
              <w:rPr>
                <w:rFonts w:ascii="Calibri" w:hAnsi="Calibri" w:cs="Calibri"/>
                <w:color w:val="0033CC"/>
                <w:sz w:val="20"/>
                <w:szCs w:val="20"/>
              </w:rPr>
              <w:t>2</w:t>
            </w:r>
            <w:r w:rsidR="002D3EE6">
              <w:rPr>
                <w:rFonts w:ascii="Calibri" w:hAnsi="Calibri" w:cs="Calibri"/>
                <w:color w:val="0033CC"/>
                <w:sz w:val="20"/>
                <w:szCs w:val="20"/>
              </w:rPr>
              <w:t>3</w:t>
            </w:r>
          </w:p>
        </w:tc>
        <w:tc>
          <w:tcPr>
            <w:tcW w:w="2460" w:type="dxa"/>
            <w:tcBorders>
              <w:top w:val="single" w:sz="8" w:space="0" w:color="auto"/>
              <w:left w:val="nil"/>
              <w:bottom w:val="single" w:sz="8" w:space="0" w:color="auto"/>
              <w:right w:val="single" w:sz="8" w:space="0" w:color="auto"/>
            </w:tcBorders>
            <w:shd w:val="clear" w:color="000000" w:fill="FFFFFF"/>
            <w:hideMark/>
          </w:tcPr>
          <w:p w:rsidR="002D3EE6" w:rsidRDefault="00A32AA6" w:rsidP="002D3EE6">
            <w:pPr>
              <w:spacing w:before="60"/>
              <w:jc w:val="center"/>
              <w:rPr>
                <w:rFonts w:ascii="Calibri" w:hAnsi="Calibri" w:cs="Calibri"/>
                <w:color w:val="000000"/>
                <w:sz w:val="20"/>
                <w:szCs w:val="20"/>
              </w:rPr>
            </w:pPr>
            <w:r w:rsidRPr="000E7FA4">
              <w:rPr>
                <w:rFonts w:ascii="Calibri" w:hAnsi="Calibri" w:cs="Calibri"/>
                <w:color w:val="000000"/>
                <w:sz w:val="20"/>
                <w:szCs w:val="20"/>
              </w:rPr>
              <w:t>Saldo a</w:t>
            </w:r>
          </w:p>
          <w:p w:rsidR="00A32AA6" w:rsidRPr="000E7FA4" w:rsidRDefault="00A32AA6" w:rsidP="002D3EE6">
            <w:pPr>
              <w:jc w:val="center"/>
              <w:rPr>
                <w:rFonts w:ascii="Calibri" w:hAnsi="Calibri" w:cs="Calibri"/>
                <w:color w:val="000000"/>
                <w:sz w:val="20"/>
                <w:szCs w:val="20"/>
              </w:rPr>
            </w:pPr>
            <w:r w:rsidRPr="000E7FA4">
              <w:rPr>
                <w:rFonts w:ascii="Calibri" w:hAnsi="Calibri" w:cs="Calibri"/>
                <w:color w:val="000000"/>
                <w:sz w:val="20"/>
                <w:szCs w:val="20"/>
              </w:rPr>
              <w:t xml:space="preserve">31 de diciembre de </w:t>
            </w:r>
            <w:r w:rsidRPr="000E7FA4">
              <w:rPr>
                <w:rFonts w:ascii="Calibri" w:hAnsi="Calibri" w:cs="Calibri"/>
                <w:color w:val="0033CC"/>
                <w:sz w:val="20"/>
                <w:szCs w:val="20"/>
              </w:rPr>
              <w:t>20</w:t>
            </w:r>
            <w:r w:rsidR="000E7FA4" w:rsidRPr="000E7FA4">
              <w:rPr>
                <w:rFonts w:ascii="Calibri" w:hAnsi="Calibri" w:cs="Calibri"/>
                <w:color w:val="0033CC"/>
                <w:sz w:val="20"/>
                <w:szCs w:val="20"/>
              </w:rPr>
              <w:t>2</w:t>
            </w:r>
            <w:r w:rsidR="002D3EE6">
              <w:rPr>
                <w:rFonts w:ascii="Calibri" w:hAnsi="Calibri" w:cs="Calibri"/>
                <w:color w:val="0033CC"/>
                <w:sz w:val="20"/>
                <w:szCs w:val="20"/>
              </w:rPr>
              <w:t>3</w:t>
            </w:r>
          </w:p>
        </w:tc>
        <w:tc>
          <w:tcPr>
            <w:tcW w:w="2020" w:type="dxa"/>
            <w:tcBorders>
              <w:top w:val="single" w:sz="8" w:space="0" w:color="auto"/>
              <w:left w:val="nil"/>
              <w:bottom w:val="single" w:sz="8" w:space="0" w:color="auto"/>
              <w:right w:val="single" w:sz="8" w:space="0" w:color="auto"/>
            </w:tcBorders>
            <w:shd w:val="clear" w:color="000000" w:fill="FFFFFF"/>
            <w:hideMark/>
          </w:tcPr>
          <w:p w:rsidR="00A32AA6" w:rsidRPr="000E7FA4" w:rsidRDefault="00A32AA6" w:rsidP="002D3EE6">
            <w:pPr>
              <w:spacing w:before="60"/>
              <w:jc w:val="center"/>
              <w:rPr>
                <w:rFonts w:ascii="Calibri" w:hAnsi="Calibri" w:cs="Calibri"/>
                <w:color w:val="000000"/>
                <w:sz w:val="20"/>
                <w:szCs w:val="20"/>
              </w:rPr>
            </w:pPr>
            <w:r w:rsidRPr="000E7FA4">
              <w:rPr>
                <w:rFonts w:ascii="Calibri" w:hAnsi="Calibri" w:cs="Calibri"/>
                <w:color w:val="000000"/>
                <w:sz w:val="20"/>
                <w:szCs w:val="20"/>
              </w:rPr>
              <w:t xml:space="preserve">Diferencia saldo </w:t>
            </w:r>
            <w:r w:rsidR="00305747">
              <w:rPr>
                <w:rFonts w:ascii="Calibri" w:hAnsi="Calibri" w:cs="Calibri"/>
                <w:color w:val="0033CC"/>
                <w:sz w:val="20"/>
                <w:szCs w:val="20"/>
              </w:rPr>
              <w:t>202</w:t>
            </w:r>
            <w:r w:rsidR="002D3EE6">
              <w:rPr>
                <w:rFonts w:ascii="Calibri" w:hAnsi="Calibri" w:cs="Calibri"/>
                <w:color w:val="0033CC"/>
                <w:sz w:val="20"/>
                <w:szCs w:val="20"/>
              </w:rPr>
              <w:t>3</w:t>
            </w:r>
            <w:r w:rsidRPr="000E7FA4">
              <w:rPr>
                <w:rFonts w:ascii="Calibri" w:hAnsi="Calibri" w:cs="Calibri"/>
                <w:color w:val="0033CC"/>
                <w:sz w:val="20"/>
                <w:szCs w:val="20"/>
              </w:rPr>
              <w:t xml:space="preserve"> </w:t>
            </w:r>
            <w:r w:rsidRPr="000E7FA4">
              <w:rPr>
                <w:rFonts w:ascii="Calibri" w:hAnsi="Calibri" w:cs="Calibri"/>
                <w:b/>
                <w:bCs/>
                <w:color w:val="0033CC"/>
                <w:sz w:val="20"/>
                <w:szCs w:val="20"/>
              </w:rPr>
              <w:t>Ajuste</w:t>
            </w:r>
          </w:p>
        </w:tc>
      </w:tr>
      <w:tr w:rsidR="00A32AA6" w:rsidRPr="000E7FA4" w:rsidTr="00A32AA6">
        <w:trPr>
          <w:trHeight w:val="276"/>
        </w:trPr>
        <w:tc>
          <w:tcPr>
            <w:tcW w:w="3060" w:type="dxa"/>
            <w:vMerge w:val="restart"/>
            <w:tcBorders>
              <w:top w:val="nil"/>
              <w:left w:val="single" w:sz="8" w:space="0" w:color="auto"/>
              <w:bottom w:val="single" w:sz="8" w:space="0" w:color="000000"/>
              <w:right w:val="single" w:sz="8" w:space="0" w:color="auto"/>
            </w:tcBorders>
            <w:vAlign w:val="center"/>
            <w:hideMark/>
          </w:tcPr>
          <w:p w:rsidR="004A1BDD" w:rsidRPr="000E7FA4" w:rsidRDefault="004A1BDD" w:rsidP="004A1BDD">
            <w:pPr>
              <w:rPr>
                <w:rFonts w:ascii="Calibri" w:hAnsi="Calibri" w:cs="Calibri"/>
                <w:color w:val="000000"/>
                <w:sz w:val="20"/>
                <w:szCs w:val="20"/>
              </w:rPr>
            </w:pPr>
            <w:r>
              <w:rPr>
                <w:rFonts w:ascii="Calibri" w:hAnsi="Calibri" w:cs="Calibri"/>
                <w:color w:val="000000"/>
                <w:sz w:val="20"/>
                <w:szCs w:val="20"/>
              </w:rPr>
              <w:t>Cuenta 413 (Acreedores por operaciones devengadas</w:t>
            </w:r>
          </w:p>
        </w:tc>
        <w:tc>
          <w:tcPr>
            <w:tcW w:w="1820" w:type="dxa"/>
            <w:tcBorders>
              <w:top w:val="nil"/>
              <w:left w:val="single" w:sz="8" w:space="0" w:color="auto"/>
              <w:bottom w:val="nil"/>
              <w:right w:val="single" w:sz="8" w:space="0" w:color="auto"/>
            </w:tcBorders>
            <w:vAlign w:val="center"/>
            <w:hideMark/>
          </w:tcPr>
          <w:p w:rsidR="00A32AA6" w:rsidRPr="000E7FA4" w:rsidRDefault="00A32AA6" w:rsidP="00A32AA6">
            <w:pPr>
              <w:rPr>
                <w:rFonts w:ascii="Calibri" w:hAnsi="Calibri" w:cs="Calibri"/>
                <w:color w:val="000000"/>
                <w:sz w:val="20"/>
                <w:szCs w:val="20"/>
              </w:rPr>
            </w:pPr>
          </w:p>
        </w:tc>
        <w:tc>
          <w:tcPr>
            <w:tcW w:w="2460" w:type="dxa"/>
            <w:tcBorders>
              <w:top w:val="nil"/>
              <w:left w:val="single" w:sz="8" w:space="0" w:color="auto"/>
              <w:bottom w:val="nil"/>
              <w:right w:val="single" w:sz="8" w:space="0" w:color="auto"/>
            </w:tcBorders>
            <w:vAlign w:val="center"/>
            <w:hideMark/>
          </w:tcPr>
          <w:p w:rsidR="00A32AA6" w:rsidRPr="000E7FA4" w:rsidRDefault="00A32AA6" w:rsidP="00A32AA6">
            <w:pPr>
              <w:rPr>
                <w:rFonts w:ascii="Calibri" w:hAnsi="Calibri" w:cs="Calibri"/>
                <w:color w:val="000000"/>
                <w:sz w:val="20"/>
                <w:szCs w:val="20"/>
              </w:rPr>
            </w:pPr>
          </w:p>
        </w:tc>
        <w:tc>
          <w:tcPr>
            <w:tcW w:w="2020" w:type="dxa"/>
            <w:tcBorders>
              <w:top w:val="nil"/>
              <w:left w:val="single" w:sz="8" w:space="0" w:color="auto"/>
              <w:bottom w:val="nil"/>
              <w:right w:val="single" w:sz="8" w:space="0" w:color="auto"/>
            </w:tcBorders>
            <w:vAlign w:val="center"/>
            <w:hideMark/>
          </w:tcPr>
          <w:p w:rsidR="00A32AA6" w:rsidRPr="000E7FA4" w:rsidRDefault="00A32AA6" w:rsidP="00A32AA6">
            <w:pPr>
              <w:rPr>
                <w:rFonts w:ascii="Calibri" w:hAnsi="Calibri" w:cs="Calibri"/>
                <w:color w:val="000000"/>
                <w:sz w:val="20"/>
                <w:szCs w:val="20"/>
              </w:rPr>
            </w:pPr>
          </w:p>
        </w:tc>
      </w:tr>
      <w:tr w:rsidR="00A32AA6" w:rsidRPr="000E7FA4" w:rsidTr="00A32AA6">
        <w:trPr>
          <w:trHeight w:val="390"/>
        </w:trPr>
        <w:tc>
          <w:tcPr>
            <w:tcW w:w="3060" w:type="dxa"/>
            <w:vMerge/>
            <w:tcBorders>
              <w:top w:val="nil"/>
              <w:left w:val="single" w:sz="8" w:space="0" w:color="auto"/>
              <w:bottom w:val="single" w:sz="8" w:space="0" w:color="000000"/>
              <w:right w:val="single" w:sz="8" w:space="0" w:color="auto"/>
            </w:tcBorders>
            <w:vAlign w:val="center"/>
            <w:hideMark/>
          </w:tcPr>
          <w:p w:rsidR="00A32AA6" w:rsidRPr="000E7FA4" w:rsidRDefault="00A32AA6" w:rsidP="00A32AA6">
            <w:pPr>
              <w:rPr>
                <w:rFonts w:ascii="Calibri" w:hAnsi="Calibri" w:cs="Calibri"/>
                <w:color w:val="000000"/>
                <w:sz w:val="20"/>
                <w:szCs w:val="20"/>
              </w:rPr>
            </w:pPr>
          </w:p>
        </w:tc>
        <w:tc>
          <w:tcPr>
            <w:tcW w:w="1820" w:type="dxa"/>
            <w:tcBorders>
              <w:top w:val="nil"/>
              <w:left w:val="nil"/>
              <w:bottom w:val="single" w:sz="8" w:space="0" w:color="auto"/>
              <w:right w:val="single" w:sz="8" w:space="0" w:color="auto"/>
            </w:tcBorders>
            <w:shd w:val="clear" w:color="auto" w:fill="FFFFFF" w:themeFill="background1"/>
            <w:noWrap/>
            <w:vAlign w:val="bottom"/>
            <w:hideMark/>
          </w:tcPr>
          <w:p w:rsidR="00A32AA6" w:rsidRPr="000E7FA4" w:rsidRDefault="00A32AA6" w:rsidP="00A32AA6">
            <w:pPr>
              <w:rPr>
                <w:rFonts w:ascii="Calibri" w:hAnsi="Calibri" w:cs="Calibri"/>
                <w:color w:val="000000"/>
                <w:sz w:val="20"/>
                <w:szCs w:val="20"/>
              </w:rPr>
            </w:pPr>
          </w:p>
        </w:tc>
        <w:tc>
          <w:tcPr>
            <w:tcW w:w="2460" w:type="dxa"/>
            <w:tcBorders>
              <w:top w:val="nil"/>
              <w:left w:val="nil"/>
              <w:bottom w:val="single" w:sz="8" w:space="0" w:color="auto"/>
              <w:right w:val="single" w:sz="8" w:space="0" w:color="auto"/>
            </w:tcBorders>
            <w:shd w:val="clear" w:color="auto" w:fill="FFFFFF" w:themeFill="background1"/>
            <w:noWrap/>
            <w:vAlign w:val="bottom"/>
            <w:hideMark/>
          </w:tcPr>
          <w:p w:rsidR="00A32AA6" w:rsidRPr="000E7FA4" w:rsidRDefault="00A32AA6" w:rsidP="00A32AA6">
            <w:pPr>
              <w:rPr>
                <w:rFonts w:ascii="Calibri" w:hAnsi="Calibri" w:cs="Calibri"/>
                <w:color w:val="000000"/>
                <w:sz w:val="20"/>
                <w:szCs w:val="20"/>
              </w:rPr>
            </w:pPr>
            <w:r w:rsidRPr="000E7FA4">
              <w:rPr>
                <w:rFonts w:ascii="Calibri" w:hAnsi="Calibri" w:cs="Calibri"/>
                <w:color w:val="000000"/>
                <w:sz w:val="20"/>
                <w:szCs w:val="20"/>
              </w:rPr>
              <w:t> </w:t>
            </w:r>
          </w:p>
        </w:tc>
        <w:tc>
          <w:tcPr>
            <w:tcW w:w="2020" w:type="dxa"/>
            <w:tcBorders>
              <w:top w:val="nil"/>
              <w:left w:val="nil"/>
              <w:bottom w:val="single" w:sz="8" w:space="0" w:color="auto"/>
              <w:right w:val="single" w:sz="8" w:space="0" w:color="auto"/>
            </w:tcBorders>
            <w:shd w:val="clear" w:color="000000" w:fill="FFFFFF"/>
            <w:noWrap/>
            <w:vAlign w:val="bottom"/>
            <w:hideMark/>
          </w:tcPr>
          <w:p w:rsidR="00A32AA6" w:rsidRPr="000E7FA4" w:rsidRDefault="00A32AA6" w:rsidP="00A32AA6">
            <w:pPr>
              <w:jc w:val="right"/>
              <w:rPr>
                <w:rFonts w:ascii="Calibri" w:hAnsi="Calibri" w:cs="Calibri"/>
                <w:color w:val="000000"/>
                <w:sz w:val="20"/>
                <w:szCs w:val="20"/>
              </w:rPr>
            </w:pPr>
            <w:r w:rsidRPr="000E7FA4">
              <w:rPr>
                <w:rFonts w:ascii="Calibri" w:hAnsi="Calibri" w:cs="Calibri"/>
                <w:color w:val="000000"/>
                <w:sz w:val="20"/>
                <w:szCs w:val="20"/>
              </w:rPr>
              <w:t>0,00</w:t>
            </w:r>
          </w:p>
        </w:tc>
      </w:tr>
      <w:tr w:rsidR="00A32AA6" w:rsidRPr="000E7FA4" w:rsidTr="00A32AA6">
        <w:trPr>
          <w:trHeight w:val="390"/>
        </w:trPr>
        <w:tc>
          <w:tcPr>
            <w:tcW w:w="3060" w:type="dxa"/>
            <w:vMerge w:val="restart"/>
            <w:tcBorders>
              <w:top w:val="nil"/>
              <w:left w:val="single" w:sz="8" w:space="0" w:color="auto"/>
              <w:bottom w:val="nil"/>
              <w:right w:val="single" w:sz="8" w:space="0" w:color="auto"/>
            </w:tcBorders>
            <w:shd w:val="clear" w:color="000000" w:fill="FFFFFF"/>
            <w:hideMark/>
          </w:tcPr>
          <w:p w:rsidR="00A32AA6" w:rsidRPr="000E7FA4" w:rsidRDefault="00A32AA6" w:rsidP="004A1BDD">
            <w:pPr>
              <w:spacing w:before="120"/>
              <w:rPr>
                <w:rFonts w:ascii="Calibri" w:hAnsi="Calibri" w:cs="Calibri"/>
                <w:color w:val="000000"/>
                <w:sz w:val="20"/>
                <w:szCs w:val="20"/>
              </w:rPr>
            </w:pPr>
            <w:r w:rsidRPr="000E7FA4">
              <w:rPr>
                <w:rFonts w:ascii="Calibri" w:hAnsi="Calibri" w:cs="Calibri"/>
                <w:color w:val="000000"/>
                <w:sz w:val="20"/>
                <w:szCs w:val="20"/>
              </w:rPr>
              <w:t>Cuenta 555 (Pagos pendientes de aplicación)</w:t>
            </w:r>
          </w:p>
        </w:tc>
        <w:tc>
          <w:tcPr>
            <w:tcW w:w="1820" w:type="dxa"/>
            <w:tcBorders>
              <w:top w:val="nil"/>
              <w:left w:val="nil"/>
              <w:bottom w:val="nil"/>
              <w:right w:val="single" w:sz="8" w:space="0" w:color="auto"/>
            </w:tcBorders>
            <w:shd w:val="clear" w:color="auto" w:fill="FFFFFF" w:themeFill="background1"/>
            <w:noWrap/>
            <w:vAlign w:val="bottom"/>
            <w:hideMark/>
          </w:tcPr>
          <w:p w:rsidR="00A32AA6" w:rsidRPr="000E7FA4" w:rsidRDefault="00A32AA6" w:rsidP="00A32AA6">
            <w:pPr>
              <w:rPr>
                <w:rFonts w:ascii="Calibri" w:hAnsi="Calibri" w:cs="Calibri"/>
                <w:color w:val="000000"/>
                <w:sz w:val="20"/>
                <w:szCs w:val="20"/>
              </w:rPr>
            </w:pPr>
            <w:r w:rsidRPr="000E7FA4">
              <w:rPr>
                <w:rFonts w:ascii="Calibri" w:hAnsi="Calibri" w:cs="Calibri"/>
                <w:color w:val="000000"/>
                <w:sz w:val="20"/>
                <w:szCs w:val="20"/>
              </w:rPr>
              <w:t> </w:t>
            </w:r>
          </w:p>
        </w:tc>
        <w:tc>
          <w:tcPr>
            <w:tcW w:w="2460" w:type="dxa"/>
            <w:tcBorders>
              <w:top w:val="nil"/>
              <w:left w:val="nil"/>
              <w:bottom w:val="nil"/>
              <w:right w:val="single" w:sz="8" w:space="0" w:color="auto"/>
            </w:tcBorders>
            <w:shd w:val="clear" w:color="auto" w:fill="FFFFFF" w:themeFill="background1"/>
            <w:noWrap/>
            <w:vAlign w:val="bottom"/>
            <w:hideMark/>
          </w:tcPr>
          <w:p w:rsidR="00A32AA6" w:rsidRPr="000E7FA4" w:rsidRDefault="00A32AA6" w:rsidP="00A32AA6">
            <w:pPr>
              <w:rPr>
                <w:rFonts w:ascii="Calibri" w:hAnsi="Calibri" w:cs="Calibri"/>
                <w:color w:val="000000"/>
                <w:sz w:val="20"/>
                <w:szCs w:val="20"/>
              </w:rPr>
            </w:pPr>
            <w:r w:rsidRPr="000E7FA4">
              <w:rPr>
                <w:rFonts w:ascii="Calibri" w:hAnsi="Calibri" w:cs="Calibri"/>
                <w:color w:val="000000"/>
                <w:sz w:val="20"/>
                <w:szCs w:val="20"/>
              </w:rPr>
              <w:t> </w:t>
            </w:r>
          </w:p>
        </w:tc>
        <w:tc>
          <w:tcPr>
            <w:tcW w:w="2020" w:type="dxa"/>
            <w:tcBorders>
              <w:top w:val="nil"/>
              <w:left w:val="nil"/>
              <w:bottom w:val="nil"/>
              <w:right w:val="single" w:sz="8" w:space="0" w:color="auto"/>
            </w:tcBorders>
            <w:shd w:val="clear" w:color="000000" w:fill="FFFFFF"/>
            <w:noWrap/>
            <w:vAlign w:val="bottom"/>
            <w:hideMark/>
          </w:tcPr>
          <w:p w:rsidR="00A32AA6" w:rsidRPr="000E7FA4" w:rsidRDefault="00A32AA6" w:rsidP="00A32AA6">
            <w:pPr>
              <w:rPr>
                <w:rFonts w:ascii="Calibri" w:hAnsi="Calibri" w:cs="Calibri"/>
                <w:color w:val="000000"/>
                <w:sz w:val="20"/>
                <w:szCs w:val="20"/>
              </w:rPr>
            </w:pPr>
            <w:r w:rsidRPr="000E7FA4">
              <w:rPr>
                <w:rFonts w:ascii="Calibri" w:hAnsi="Calibri" w:cs="Calibri"/>
                <w:color w:val="000000"/>
                <w:sz w:val="20"/>
                <w:szCs w:val="20"/>
              </w:rPr>
              <w:t> </w:t>
            </w:r>
          </w:p>
        </w:tc>
      </w:tr>
      <w:tr w:rsidR="00A32AA6" w:rsidRPr="00A32AA6" w:rsidTr="00A32AA6">
        <w:trPr>
          <w:trHeight w:val="390"/>
        </w:trPr>
        <w:tc>
          <w:tcPr>
            <w:tcW w:w="3060" w:type="dxa"/>
            <w:vMerge/>
            <w:tcBorders>
              <w:top w:val="nil"/>
              <w:left w:val="single" w:sz="8" w:space="0" w:color="auto"/>
              <w:bottom w:val="single" w:sz="8" w:space="0" w:color="auto"/>
              <w:right w:val="single" w:sz="8" w:space="0" w:color="auto"/>
            </w:tcBorders>
            <w:vAlign w:val="center"/>
            <w:hideMark/>
          </w:tcPr>
          <w:p w:rsidR="00A32AA6" w:rsidRPr="000E7FA4" w:rsidRDefault="00A32AA6" w:rsidP="00A32AA6">
            <w:pPr>
              <w:rPr>
                <w:rFonts w:ascii="Calibri" w:hAnsi="Calibri" w:cs="Calibri"/>
                <w:color w:val="000000"/>
                <w:sz w:val="20"/>
                <w:szCs w:val="20"/>
              </w:rPr>
            </w:pPr>
          </w:p>
        </w:tc>
        <w:tc>
          <w:tcPr>
            <w:tcW w:w="1820" w:type="dxa"/>
            <w:tcBorders>
              <w:top w:val="nil"/>
              <w:left w:val="nil"/>
              <w:bottom w:val="single" w:sz="8" w:space="0" w:color="auto"/>
              <w:right w:val="single" w:sz="8" w:space="0" w:color="auto"/>
            </w:tcBorders>
            <w:shd w:val="clear" w:color="auto" w:fill="FFFFFF" w:themeFill="background1"/>
            <w:noWrap/>
            <w:vAlign w:val="bottom"/>
            <w:hideMark/>
          </w:tcPr>
          <w:p w:rsidR="00A32AA6" w:rsidRPr="000E7FA4" w:rsidRDefault="00A32AA6" w:rsidP="00A32AA6">
            <w:pPr>
              <w:rPr>
                <w:rFonts w:ascii="Calibri" w:hAnsi="Calibri" w:cs="Calibri"/>
                <w:color w:val="000000"/>
                <w:sz w:val="20"/>
                <w:szCs w:val="20"/>
              </w:rPr>
            </w:pPr>
            <w:r w:rsidRPr="000E7FA4">
              <w:rPr>
                <w:rFonts w:ascii="Calibri" w:hAnsi="Calibri" w:cs="Calibri"/>
                <w:color w:val="000000"/>
                <w:sz w:val="20"/>
                <w:szCs w:val="20"/>
              </w:rPr>
              <w:t> </w:t>
            </w:r>
          </w:p>
        </w:tc>
        <w:tc>
          <w:tcPr>
            <w:tcW w:w="2460" w:type="dxa"/>
            <w:tcBorders>
              <w:top w:val="nil"/>
              <w:left w:val="nil"/>
              <w:bottom w:val="single" w:sz="8" w:space="0" w:color="auto"/>
              <w:right w:val="single" w:sz="8" w:space="0" w:color="auto"/>
            </w:tcBorders>
            <w:shd w:val="clear" w:color="auto" w:fill="FFFFFF" w:themeFill="background1"/>
            <w:noWrap/>
            <w:vAlign w:val="bottom"/>
            <w:hideMark/>
          </w:tcPr>
          <w:p w:rsidR="00A32AA6" w:rsidRPr="000E7FA4" w:rsidRDefault="00A32AA6" w:rsidP="00A32AA6">
            <w:pPr>
              <w:rPr>
                <w:rFonts w:ascii="Calibri" w:hAnsi="Calibri" w:cs="Calibri"/>
                <w:color w:val="000000"/>
                <w:sz w:val="20"/>
                <w:szCs w:val="20"/>
              </w:rPr>
            </w:pPr>
            <w:r w:rsidRPr="000E7FA4">
              <w:rPr>
                <w:rFonts w:ascii="Calibri" w:hAnsi="Calibri" w:cs="Calibri"/>
                <w:color w:val="000000"/>
                <w:sz w:val="20"/>
                <w:szCs w:val="20"/>
              </w:rPr>
              <w:t> </w:t>
            </w:r>
          </w:p>
        </w:tc>
        <w:tc>
          <w:tcPr>
            <w:tcW w:w="2020" w:type="dxa"/>
            <w:tcBorders>
              <w:top w:val="nil"/>
              <w:left w:val="nil"/>
              <w:bottom w:val="single" w:sz="8" w:space="0" w:color="auto"/>
              <w:right w:val="single" w:sz="8" w:space="0" w:color="auto"/>
            </w:tcBorders>
            <w:shd w:val="clear" w:color="000000" w:fill="FFFFFF"/>
            <w:noWrap/>
            <w:vAlign w:val="bottom"/>
            <w:hideMark/>
          </w:tcPr>
          <w:p w:rsidR="00A32AA6" w:rsidRPr="00A32AA6" w:rsidRDefault="00A32AA6" w:rsidP="00A32AA6">
            <w:pPr>
              <w:jc w:val="right"/>
              <w:rPr>
                <w:rFonts w:ascii="Calibri" w:hAnsi="Calibri" w:cs="Calibri"/>
                <w:color w:val="000000"/>
                <w:sz w:val="20"/>
                <w:szCs w:val="20"/>
              </w:rPr>
            </w:pPr>
            <w:r w:rsidRPr="000E7FA4">
              <w:rPr>
                <w:rFonts w:ascii="Calibri" w:hAnsi="Calibri" w:cs="Calibri"/>
                <w:color w:val="000000"/>
                <w:sz w:val="20"/>
                <w:szCs w:val="20"/>
              </w:rPr>
              <w:t>0,00</w:t>
            </w:r>
          </w:p>
        </w:tc>
      </w:tr>
    </w:tbl>
    <w:p w:rsidR="00A32AA6" w:rsidRDefault="00A32AA6" w:rsidP="00062632">
      <w:pPr>
        <w:jc w:val="both"/>
        <w:rPr>
          <w:rFonts w:ascii="Calibri" w:hAnsi="Calibri" w:cs="Calibri"/>
          <w:b/>
          <w:sz w:val="20"/>
          <w:szCs w:val="20"/>
          <w:lang w:eastAsia="en-US"/>
        </w:rPr>
      </w:pPr>
    </w:p>
    <w:p w:rsidR="00D91ECC" w:rsidRDefault="00A32AA6" w:rsidP="004F151F">
      <w:pPr>
        <w:spacing w:after="120"/>
        <w:jc w:val="both"/>
        <w:rPr>
          <w:rFonts w:ascii="Calibri" w:hAnsi="Calibri" w:cs="Calibri"/>
          <w:sz w:val="22"/>
          <w:szCs w:val="22"/>
        </w:rPr>
      </w:pPr>
      <w:r>
        <w:rPr>
          <w:rFonts w:ascii="Calibri" w:hAnsi="Calibri" w:cs="Calibri"/>
          <w:b/>
          <w:sz w:val="22"/>
          <w:szCs w:val="22"/>
        </w:rPr>
        <w:tab/>
      </w:r>
      <w:r w:rsidR="00062632" w:rsidRPr="00AF643B">
        <w:rPr>
          <w:rFonts w:ascii="Calibri" w:hAnsi="Calibri" w:cs="Calibri"/>
          <w:b/>
          <w:sz w:val="22"/>
          <w:szCs w:val="22"/>
        </w:rPr>
        <w:t>En Ingresos</w:t>
      </w:r>
      <w:r w:rsidR="00062632" w:rsidRPr="00AF643B">
        <w:rPr>
          <w:rFonts w:ascii="Calibri" w:hAnsi="Calibri" w:cs="Calibri"/>
          <w:sz w:val="22"/>
          <w:szCs w:val="22"/>
        </w:rPr>
        <w:t xml:space="preserve">: </w:t>
      </w:r>
      <w:r w:rsidR="00062632" w:rsidRPr="00AF643B">
        <w:rPr>
          <w:rFonts w:ascii="Calibri" w:hAnsi="Calibri" w:cs="Calibri"/>
          <w:sz w:val="22"/>
          <w:szCs w:val="22"/>
          <w:u w:val="single"/>
        </w:rPr>
        <w:t>los ajustes positivos</w:t>
      </w:r>
      <w:r w:rsidR="00062632" w:rsidRPr="00AF643B">
        <w:rPr>
          <w:rFonts w:ascii="Calibri" w:hAnsi="Calibri" w:cs="Calibri"/>
          <w:sz w:val="22"/>
          <w:szCs w:val="22"/>
        </w:rPr>
        <w:t xml:space="preserve"> del Presupuesto de Ingresos aumentan la capacidad de financiación y los </w:t>
      </w:r>
      <w:r w:rsidR="00062632" w:rsidRPr="00AF643B">
        <w:rPr>
          <w:rFonts w:ascii="Calibri" w:hAnsi="Calibri" w:cs="Calibri"/>
          <w:sz w:val="22"/>
          <w:szCs w:val="22"/>
          <w:u w:val="single"/>
        </w:rPr>
        <w:t>ajustes negativos</w:t>
      </w:r>
      <w:r w:rsidR="00062632" w:rsidRPr="00AF643B">
        <w:rPr>
          <w:rFonts w:ascii="Calibri" w:hAnsi="Calibri" w:cs="Calibri"/>
          <w:sz w:val="22"/>
          <w:szCs w:val="22"/>
        </w:rPr>
        <w:t xml:space="preserve"> disminuyen la capacidad de financiación. </w:t>
      </w:r>
    </w:p>
    <w:p w:rsidR="00062632" w:rsidRPr="00AF643B" w:rsidRDefault="00D91ECC" w:rsidP="00062632">
      <w:pPr>
        <w:ind w:right="-1"/>
        <w:jc w:val="both"/>
        <w:rPr>
          <w:rFonts w:ascii="Calibri" w:hAnsi="Calibri" w:cs="Calibri"/>
          <w:sz w:val="22"/>
          <w:szCs w:val="22"/>
        </w:rPr>
      </w:pPr>
      <w:r>
        <w:rPr>
          <w:rFonts w:ascii="Calibri" w:hAnsi="Calibri" w:cs="Calibri"/>
          <w:sz w:val="22"/>
          <w:szCs w:val="22"/>
        </w:rPr>
        <w:tab/>
      </w:r>
      <w:r w:rsidR="00062632" w:rsidRPr="00AF643B">
        <w:rPr>
          <w:rFonts w:ascii="Calibri" w:hAnsi="Calibri" w:cs="Calibri"/>
          <w:b/>
          <w:sz w:val="22"/>
          <w:szCs w:val="22"/>
        </w:rPr>
        <w:t>En Gastos</w:t>
      </w:r>
      <w:r w:rsidR="00062632" w:rsidRPr="00AF643B">
        <w:rPr>
          <w:rFonts w:ascii="Calibri" w:hAnsi="Calibri" w:cs="Calibri"/>
          <w:sz w:val="22"/>
          <w:szCs w:val="22"/>
        </w:rPr>
        <w:t xml:space="preserve">: los </w:t>
      </w:r>
      <w:r w:rsidR="00062632" w:rsidRPr="00AF643B">
        <w:rPr>
          <w:rFonts w:ascii="Calibri" w:hAnsi="Calibri" w:cs="Calibri"/>
          <w:sz w:val="22"/>
          <w:szCs w:val="22"/>
          <w:u w:val="single"/>
        </w:rPr>
        <w:t>ajustes positivos</w:t>
      </w:r>
      <w:r w:rsidR="00062632" w:rsidRPr="00AF643B">
        <w:rPr>
          <w:rFonts w:ascii="Calibri" w:hAnsi="Calibri" w:cs="Calibri"/>
          <w:sz w:val="22"/>
          <w:szCs w:val="22"/>
        </w:rPr>
        <w:t xml:space="preserve"> del Presupuesto de Gastos disminuyen la capacidad de financiación y los </w:t>
      </w:r>
      <w:r w:rsidR="00062632" w:rsidRPr="00AF643B">
        <w:rPr>
          <w:rFonts w:ascii="Calibri" w:hAnsi="Calibri" w:cs="Calibri"/>
          <w:sz w:val="22"/>
          <w:szCs w:val="22"/>
          <w:u w:val="single"/>
        </w:rPr>
        <w:t>ajustes negativos</w:t>
      </w:r>
      <w:r w:rsidR="00062632" w:rsidRPr="00AF643B">
        <w:rPr>
          <w:rFonts w:ascii="Calibri" w:hAnsi="Calibri" w:cs="Calibri"/>
          <w:sz w:val="22"/>
          <w:szCs w:val="22"/>
        </w:rPr>
        <w:t xml:space="preserve"> aumentan la capacidad de financiación.</w:t>
      </w:r>
    </w:p>
    <w:p w:rsidR="00062632" w:rsidRPr="00C35C00" w:rsidRDefault="00062632" w:rsidP="00062632">
      <w:pPr>
        <w:tabs>
          <w:tab w:val="left" w:pos="2565"/>
        </w:tabs>
        <w:ind w:right="-1"/>
        <w:jc w:val="both"/>
        <w:rPr>
          <w:rFonts w:ascii="Calibri" w:hAnsi="Calibri" w:cs="Calibri"/>
          <w:b/>
          <w:sz w:val="22"/>
          <w:szCs w:val="22"/>
        </w:rPr>
      </w:pPr>
    </w:p>
    <w:p w:rsidR="00062632" w:rsidRDefault="00062632" w:rsidP="00D00144">
      <w:pPr>
        <w:ind w:right="-1"/>
        <w:jc w:val="center"/>
        <w:rPr>
          <w:rFonts w:ascii="Calibri" w:hAnsi="Calibri" w:cs="Calibri"/>
          <w:b/>
          <w:color w:val="0000FF"/>
          <w:sz w:val="22"/>
          <w:szCs w:val="22"/>
        </w:rPr>
      </w:pPr>
      <w:r w:rsidRPr="00B121E3">
        <w:rPr>
          <w:rFonts w:ascii="Calibri" w:hAnsi="Calibri" w:cs="Calibri"/>
          <w:b/>
          <w:sz w:val="22"/>
          <w:szCs w:val="22"/>
        </w:rPr>
        <w:t xml:space="preserve">CÁLCULO DE LA CAPACIDAD / NECESIDAD DE FINANCIACIÓN DE LA LIQUIDACION  PRESUPUESTO GENERAL DEL AYUNTAMIENTO PARA </w:t>
      </w:r>
      <w:r w:rsidR="00350FD7">
        <w:rPr>
          <w:rFonts w:ascii="Calibri" w:hAnsi="Calibri" w:cs="Calibri"/>
          <w:b/>
          <w:color w:val="0000FF"/>
          <w:sz w:val="22"/>
          <w:szCs w:val="22"/>
        </w:rPr>
        <w:t>202</w:t>
      </w:r>
      <w:r w:rsidR="00D00144">
        <w:rPr>
          <w:rFonts w:ascii="Calibri" w:hAnsi="Calibri" w:cs="Calibri"/>
          <w:b/>
          <w:color w:val="0000FF"/>
          <w:sz w:val="22"/>
          <w:szCs w:val="22"/>
        </w:rPr>
        <w:t>3</w:t>
      </w:r>
    </w:p>
    <w:p w:rsidR="00062632" w:rsidRDefault="00062632" w:rsidP="00062632">
      <w:pPr>
        <w:ind w:right="-1"/>
        <w:jc w:val="both"/>
        <w:rPr>
          <w:rFonts w:ascii="Calibri" w:hAnsi="Calibri" w:cs="Calibri"/>
          <w:b/>
          <w:color w:val="0000FF"/>
          <w:sz w:val="22"/>
          <w:szCs w:val="22"/>
        </w:rPr>
      </w:pPr>
    </w:p>
    <w:p w:rsidR="00062632" w:rsidRDefault="00062632" w:rsidP="00D00144">
      <w:pPr>
        <w:jc w:val="center"/>
        <w:rPr>
          <w:rFonts w:ascii="Calibri" w:hAnsi="Calibri" w:cs="Calibri"/>
          <w:b/>
          <w:sz w:val="20"/>
          <w:szCs w:val="20"/>
          <w:highlight w:val="lightGray"/>
        </w:rPr>
      </w:pPr>
      <w:r w:rsidRPr="00E9467B">
        <w:rPr>
          <w:rFonts w:ascii="Calibri" w:hAnsi="Calibri" w:cs="Calibri"/>
          <w:b/>
          <w:sz w:val="20"/>
          <w:szCs w:val="20"/>
        </w:rPr>
        <w:t>(</w:t>
      </w:r>
      <w:r w:rsidRPr="00E9467B">
        <w:rPr>
          <w:rFonts w:ascii="Calibri" w:hAnsi="Calibri" w:cs="Calibri"/>
          <w:b/>
          <w:sz w:val="20"/>
          <w:szCs w:val="20"/>
          <w:highlight w:val="lightGray"/>
        </w:rPr>
        <w:t xml:space="preserve">Utilizar la hoja Excel </w:t>
      </w:r>
      <w:r w:rsidR="002137C3">
        <w:rPr>
          <w:rFonts w:ascii="Calibri" w:hAnsi="Calibri" w:cs="Calibri"/>
          <w:b/>
          <w:sz w:val="20"/>
          <w:szCs w:val="20"/>
          <w:highlight w:val="lightGray"/>
        </w:rPr>
        <w:t>ESTABILIDAD PRESUPUESTARIA</w:t>
      </w:r>
      <w:r w:rsidRPr="00E9467B">
        <w:rPr>
          <w:rFonts w:ascii="Calibri" w:hAnsi="Calibri" w:cs="Calibri"/>
          <w:b/>
          <w:sz w:val="20"/>
          <w:szCs w:val="20"/>
          <w:highlight w:val="lightGray"/>
        </w:rPr>
        <w:t>, y copiar la tabla)</w:t>
      </w:r>
    </w:p>
    <w:p w:rsidR="005921F5" w:rsidRDefault="005921F5" w:rsidP="00062632">
      <w:pPr>
        <w:jc w:val="both"/>
        <w:rPr>
          <w:rFonts w:ascii="Calibri" w:hAnsi="Calibri" w:cs="Calibri"/>
          <w:b/>
          <w:sz w:val="20"/>
          <w:szCs w:val="20"/>
        </w:rPr>
      </w:pPr>
    </w:p>
    <w:tbl>
      <w:tblPr>
        <w:tblW w:w="8200" w:type="dxa"/>
        <w:tblCellMar>
          <w:left w:w="70" w:type="dxa"/>
          <w:right w:w="70" w:type="dxa"/>
        </w:tblCellMar>
        <w:tblLook w:val="04A0" w:firstRow="1" w:lastRow="0" w:firstColumn="1" w:lastColumn="0" w:noHBand="0" w:noVBand="1"/>
      </w:tblPr>
      <w:tblGrid>
        <w:gridCol w:w="6320"/>
        <w:gridCol w:w="1880"/>
      </w:tblGrid>
      <w:tr w:rsidR="005921F5" w:rsidRPr="005921F5" w:rsidTr="005921F5">
        <w:trPr>
          <w:trHeight w:val="255"/>
        </w:trPr>
        <w:tc>
          <w:tcPr>
            <w:tcW w:w="6320" w:type="dxa"/>
            <w:tcBorders>
              <w:top w:val="single" w:sz="4" w:space="0" w:color="auto"/>
              <w:left w:val="single" w:sz="4" w:space="0" w:color="auto"/>
              <w:bottom w:val="single" w:sz="4" w:space="0" w:color="auto"/>
              <w:right w:val="single" w:sz="4" w:space="0" w:color="auto"/>
            </w:tcBorders>
            <w:shd w:val="clear" w:color="auto" w:fill="auto"/>
            <w:hideMark/>
          </w:tcPr>
          <w:p w:rsidR="005921F5" w:rsidRPr="005921F5" w:rsidRDefault="005921F5" w:rsidP="005921F5">
            <w:pPr>
              <w:jc w:val="center"/>
              <w:rPr>
                <w:rFonts w:ascii="Calibri" w:hAnsi="Calibri" w:cs="Calibri"/>
                <w:b/>
                <w:bCs/>
                <w:color w:val="000000"/>
                <w:sz w:val="20"/>
                <w:szCs w:val="20"/>
              </w:rPr>
            </w:pPr>
            <w:r w:rsidRPr="005921F5">
              <w:rPr>
                <w:rFonts w:ascii="Calibri" w:hAnsi="Calibri" w:cs="Calibri"/>
                <w:b/>
                <w:bCs/>
                <w:color w:val="000000"/>
                <w:sz w:val="20"/>
                <w:szCs w:val="20"/>
              </w:rPr>
              <w:t xml:space="preserve">LIQUIDACION DEL PRESUPUESTO  </w:t>
            </w:r>
            <w:r w:rsidRPr="005921F5">
              <w:rPr>
                <w:rFonts w:ascii="Calibri" w:hAnsi="Calibri" w:cs="Calibri"/>
                <w:b/>
                <w:bCs/>
                <w:color w:val="0033CC"/>
                <w:sz w:val="20"/>
                <w:szCs w:val="20"/>
              </w:rPr>
              <w:t>202</w:t>
            </w:r>
            <w:r w:rsidR="00295CA3">
              <w:rPr>
                <w:rFonts w:ascii="Calibri" w:hAnsi="Calibri" w:cs="Calibri"/>
                <w:b/>
                <w:bCs/>
                <w:color w:val="0033CC"/>
                <w:sz w:val="20"/>
                <w:szCs w:val="20"/>
              </w:rPr>
              <w:t>3</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noWrap/>
            <w:vAlign w:val="bottom"/>
            <w:hideMark/>
          </w:tcPr>
          <w:p w:rsidR="005921F5" w:rsidRPr="005921F5" w:rsidRDefault="005921F5" w:rsidP="005921F5">
            <w:pPr>
              <w:rPr>
                <w:rFonts w:ascii="Calibri" w:hAnsi="Calibri" w:cs="Calibri"/>
                <w:color w:val="000000"/>
                <w:sz w:val="20"/>
                <w:szCs w:val="20"/>
              </w:rPr>
            </w:pPr>
            <w:r w:rsidRPr="005921F5">
              <w:rPr>
                <w:rFonts w:ascii="Calibri" w:hAnsi="Calibri" w:cs="Calibri"/>
                <w:b/>
                <w:bCs/>
                <w:color w:val="FF0000"/>
                <w:sz w:val="20"/>
                <w:szCs w:val="20"/>
              </w:rPr>
              <w:t>a)</w:t>
            </w:r>
            <w:r w:rsidRPr="005921F5">
              <w:rPr>
                <w:rFonts w:ascii="Calibri" w:hAnsi="Calibri" w:cs="Calibri"/>
                <w:color w:val="000000"/>
                <w:sz w:val="20"/>
                <w:szCs w:val="20"/>
              </w:rPr>
              <w:t xml:space="preserve"> Suma de los Derechos Reconocidos Capítulos  1 a 7 de Ingresos</w:t>
            </w:r>
          </w:p>
        </w:tc>
        <w:tc>
          <w:tcPr>
            <w:tcW w:w="188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noWrap/>
            <w:vAlign w:val="bottom"/>
            <w:hideMark/>
          </w:tcPr>
          <w:p w:rsidR="005921F5" w:rsidRPr="005921F5" w:rsidRDefault="005921F5" w:rsidP="005921F5">
            <w:pPr>
              <w:rPr>
                <w:rFonts w:ascii="Calibri" w:hAnsi="Calibri" w:cs="Calibri"/>
                <w:color w:val="000000"/>
                <w:sz w:val="20"/>
                <w:szCs w:val="20"/>
              </w:rPr>
            </w:pPr>
            <w:r w:rsidRPr="005921F5">
              <w:rPr>
                <w:rFonts w:ascii="Calibri" w:hAnsi="Calibri" w:cs="Calibri"/>
                <w:b/>
                <w:bCs/>
                <w:color w:val="FF0000"/>
                <w:sz w:val="20"/>
                <w:szCs w:val="20"/>
              </w:rPr>
              <w:t>b)</w:t>
            </w:r>
            <w:r w:rsidRPr="005921F5">
              <w:rPr>
                <w:rFonts w:ascii="Calibri" w:hAnsi="Calibri" w:cs="Calibri"/>
                <w:color w:val="000000"/>
                <w:sz w:val="20"/>
                <w:szCs w:val="20"/>
              </w:rPr>
              <w:t xml:space="preserve"> Suma de las Obligaciones Reconocidas Capítulos  1 a 7 de Gastos</w:t>
            </w:r>
          </w:p>
        </w:tc>
        <w:tc>
          <w:tcPr>
            <w:tcW w:w="188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noWrap/>
            <w:vAlign w:val="bottom"/>
            <w:hideMark/>
          </w:tcPr>
          <w:p w:rsidR="005921F5" w:rsidRPr="005921F5" w:rsidRDefault="005921F5" w:rsidP="005921F5">
            <w:pPr>
              <w:rPr>
                <w:rFonts w:ascii="Calibri" w:hAnsi="Calibri" w:cs="Calibri"/>
                <w:color w:val="000000"/>
                <w:sz w:val="20"/>
                <w:szCs w:val="20"/>
              </w:rPr>
            </w:pPr>
            <w:r w:rsidRPr="005921F5">
              <w:rPr>
                <w:rFonts w:ascii="Calibri" w:hAnsi="Calibri" w:cs="Calibri"/>
                <w:b/>
                <w:bCs/>
                <w:color w:val="FF0000"/>
                <w:sz w:val="20"/>
                <w:szCs w:val="20"/>
              </w:rPr>
              <w:t>c)</w:t>
            </w:r>
            <w:r w:rsidRPr="005921F5">
              <w:rPr>
                <w:rFonts w:ascii="Calibri" w:hAnsi="Calibri" w:cs="Calibri"/>
                <w:b/>
                <w:bCs/>
                <w:color w:val="000000"/>
                <w:sz w:val="20"/>
                <w:szCs w:val="20"/>
              </w:rPr>
              <w:t xml:space="preserve"> </w:t>
            </w:r>
            <w:r w:rsidRPr="005921F5">
              <w:rPr>
                <w:rFonts w:ascii="Calibri" w:hAnsi="Calibri" w:cs="Calibri"/>
                <w:color w:val="000000"/>
                <w:sz w:val="20"/>
                <w:szCs w:val="20"/>
              </w:rPr>
              <w:t>Total capacidad/necesidad de financiación antes de ajustes (a-b)</w:t>
            </w:r>
          </w:p>
        </w:tc>
        <w:tc>
          <w:tcPr>
            <w:tcW w:w="188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hideMark/>
          </w:tcPr>
          <w:p w:rsidR="005921F5" w:rsidRPr="005921F5" w:rsidRDefault="005921F5" w:rsidP="005921F5">
            <w:pPr>
              <w:jc w:val="center"/>
              <w:rPr>
                <w:rFonts w:ascii="Calibri" w:hAnsi="Calibri" w:cs="Calibri"/>
                <w:color w:val="000000"/>
                <w:sz w:val="20"/>
                <w:szCs w:val="20"/>
              </w:rPr>
            </w:pPr>
            <w:r w:rsidRPr="005921F5">
              <w:rPr>
                <w:rFonts w:ascii="Calibri" w:hAnsi="Calibri" w:cs="Calibri"/>
                <w:color w:val="000000"/>
                <w:sz w:val="20"/>
                <w:szCs w:val="20"/>
              </w:rPr>
              <w:t xml:space="preserve">AJUSTES </w:t>
            </w:r>
          </w:p>
        </w:tc>
        <w:tc>
          <w:tcPr>
            <w:tcW w:w="188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FF"/>
                <w:sz w:val="20"/>
                <w:szCs w:val="20"/>
              </w:rPr>
            </w:pPr>
            <w:r w:rsidRPr="005921F5">
              <w:rPr>
                <w:rFonts w:ascii="Calibri" w:hAnsi="Calibri" w:cs="Calibri"/>
                <w:color w:val="0000FF"/>
                <w:sz w:val="20"/>
                <w:szCs w:val="20"/>
              </w:rPr>
              <w:t>Ajuste por recaudación ingresos Capítulo 1</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FF"/>
                <w:sz w:val="20"/>
                <w:szCs w:val="20"/>
              </w:rPr>
            </w:pPr>
            <w:r w:rsidRPr="005921F5">
              <w:rPr>
                <w:rFonts w:ascii="Calibri" w:hAnsi="Calibri" w:cs="Calibri"/>
                <w:color w:val="0000FF"/>
                <w:sz w:val="20"/>
                <w:szCs w:val="20"/>
              </w:rPr>
              <w:t>Ajuste por recaudación ingresos Capítulo 2</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FF"/>
                <w:sz w:val="20"/>
                <w:szCs w:val="20"/>
              </w:rPr>
            </w:pPr>
            <w:r w:rsidRPr="005921F5">
              <w:rPr>
                <w:rFonts w:ascii="Calibri" w:hAnsi="Calibri" w:cs="Calibri"/>
                <w:color w:val="0000FF"/>
                <w:sz w:val="20"/>
                <w:szCs w:val="20"/>
              </w:rPr>
              <w:t>Ajuste por recaudación ingresos Capítulo 3</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FF"/>
                <w:sz w:val="20"/>
                <w:szCs w:val="20"/>
              </w:rPr>
            </w:pPr>
            <w:r w:rsidRPr="005921F5">
              <w:rPr>
                <w:rFonts w:ascii="Calibri" w:hAnsi="Calibri" w:cs="Calibri"/>
                <w:color w:val="0000FF"/>
                <w:sz w:val="20"/>
                <w:szCs w:val="20"/>
              </w:rPr>
              <w:t>(+) Ajuste por liquidación PTE - 2008</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FF"/>
                <w:sz w:val="20"/>
                <w:szCs w:val="20"/>
              </w:rPr>
            </w:pPr>
            <w:r w:rsidRPr="005921F5">
              <w:rPr>
                <w:rFonts w:ascii="Calibri" w:hAnsi="Calibri" w:cs="Calibri"/>
                <w:color w:val="0000FF"/>
                <w:sz w:val="20"/>
                <w:szCs w:val="20"/>
              </w:rPr>
              <w:t>(+) Ajuste por liquidación PTE - 2009</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000000" w:fill="FFFFFF"/>
            <w:vAlign w:val="center"/>
            <w:hideMark/>
          </w:tcPr>
          <w:p w:rsidR="005921F5" w:rsidRPr="005921F5" w:rsidRDefault="005921F5" w:rsidP="005921F5">
            <w:pPr>
              <w:rPr>
                <w:rFonts w:ascii="Calibri" w:hAnsi="Calibri" w:cs="Calibri"/>
                <w:color w:val="0000FF"/>
                <w:sz w:val="20"/>
                <w:szCs w:val="20"/>
              </w:rPr>
            </w:pPr>
            <w:r w:rsidRPr="005921F5">
              <w:rPr>
                <w:rFonts w:ascii="Calibri" w:hAnsi="Calibri" w:cs="Calibri"/>
                <w:color w:val="0000FF"/>
                <w:sz w:val="20"/>
                <w:szCs w:val="20"/>
              </w:rPr>
              <w:t>(+/-) Ajustes por liquidación PTE ejercicios distintos  a 2008 y 2009</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FF"/>
                <w:sz w:val="20"/>
                <w:szCs w:val="20"/>
              </w:rPr>
            </w:pPr>
            <w:r w:rsidRPr="005921F5">
              <w:rPr>
                <w:rFonts w:ascii="Calibri" w:hAnsi="Calibri" w:cs="Calibri"/>
                <w:color w:val="0000FF"/>
                <w:sz w:val="20"/>
                <w:szCs w:val="20"/>
              </w:rPr>
              <w:t>Intereses</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Diferencias de cambio</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510"/>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sz w:val="20"/>
                <w:szCs w:val="20"/>
              </w:rPr>
            </w:pPr>
            <w:r w:rsidRPr="005921F5">
              <w:rPr>
                <w:rFonts w:ascii="Calibri" w:hAnsi="Calibri" w:cs="Calibri"/>
                <w:sz w:val="20"/>
                <w:szCs w:val="20"/>
              </w:rPr>
              <w:t>(+/-) Ajuste por grado de ejecución del gasto</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No procede en Liquidación</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Inversiones realizadas por Cuenta Corporación Local (2)</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Ingresos por Ventas de Acciones (privatizaciones)</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Dividendos y Participación en beneficios</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Ingresos obtenidos del presupuesto de la Unión Europea</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Operaciones de permuta financiera (SWAPS)</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Operaciones de reintegro y ejecución de avales</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Aportaciones de Capital</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Asunción y cancelación de deudas</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510"/>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FF"/>
                <w:sz w:val="20"/>
                <w:szCs w:val="20"/>
              </w:rPr>
            </w:pPr>
            <w:r w:rsidRPr="005921F5">
              <w:rPr>
                <w:rFonts w:ascii="Calibri" w:hAnsi="Calibri" w:cs="Calibri"/>
                <w:color w:val="0000FF"/>
                <w:sz w:val="20"/>
                <w:szCs w:val="20"/>
              </w:rPr>
              <w:t>Gastos realizados en el ejercicio pendientes de aplicar a presupuesto (cuenta 413 según Orden HAC/1364/2018)</w:t>
            </w:r>
          </w:p>
        </w:tc>
        <w:tc>
          <w:tcPr>
            <w:tcW w:w="1880" w:type="dxa"/>
            <w:tcBorders>
              <w:top w:val="nil"/>
              <w:left w:val="nil"/>
              <w:bottom w:val="single" w:sz="4" w:space="0" w:color="auto"/>
              <w:right w:val="single" w:sz="4" w:space="0" w:color="auto"/>
            </w:tcBorders>
            <w:shd w:val="clear" w:color="000000" w:fill="FFFFFF"/>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Adquisiciones con pago aplazado</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sz w:val="20"/>
                <w:szCs w:val="20"/>
              </w:rPr>
            </w:pPr>
            <w:r w:rsidRPr="005921F5">
              <w:rPr>
                <w:rFonts w:ascii="Calibri" w:hAnsi="Calibri" w:cs="Calibri"/>
                <w:sz w:val="20"/>
                <w:szCs w:val="20"/>
              </w:rPr>
              <w:t>Arrendamiento financiero</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sz w:val="20"/>
                <w:szCs w:val="20"/>
              </w:rPr>
            </w:pPr>
            <w:r w:rsidRPr="005921F5">
              <w:rPr>
                <w:rFonts w:ascii="Calibri" w:hAnsi="Calibri" w:cs="Calibri"/>
                <w:sz w:val="20"/>
                <w:szCs w:val="20"/>
              </w:rPr>
              <w:t>Contratos de asociación publico privada (APP's)</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Inversiones realizadas por cuenta de otra Administración Publica (3)</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Prestamos</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FF"/>
                <w:sz w:val="20"/>
                <w:szCs w:val="20"/>
              </w:rPr>
            </w:pPr>
            <w:r w:rsidRPr="005921F5">
              <w:rPr>
                <w:rFonts w:ascii="Calibri" w:hAnsi="Calibri" w:cs="Calibri"/>
                <w:color w:val="0000FF"/>
                <w:sz w:val="20"/>
                <w:szCs w:val="20"/>
              </w:rPr>
              <w:t>Devoluciones de ingresos pendientes de aplicar a presupuesto</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color w:val="000000"/>
                <w:sz w:val="20"/>
                <w:szCs w:val="20"/>
              </w:rPr>
              <w:t>Consolidación de transferencia con otras Administraciones Publicas</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 </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i/>
                <w:iCs/>
                <w:color w:val="000000"/>
                <w:sz w:val="20"/>
                <w:szCs w:val="20"/>
              </w:rPr>
            </w:pPr>
            <w:r w:rsidRPr="005921F5">
              <w:rPr>
                <w:rFonts w:ascii="Calibri" w:hAnsi="Calibri" w:cs="Calibri"/>
                <w:i/>
                <w:iCs/>
                <w:color w:val="000000"/>
                <w:sz w:val="20"/>
                <w:szCs w:val="20"/>
              </w:rPr>
              <w:t>Otros (1)</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255"/>
        </w:trPr>
        <w:tc>
          <w:tcPr>
            <w:tcW w:w="63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0"/>
                <w:szCs w:val="20"/>
              </w:rPr>
            </w:pPr>
            <w:r w:rsidRPr="005921F5">
              <w:rPr>
                <w:rFonts w:ascii="Calibri" w:hAnsi="Calibri" w:cs="Calibri"/>
                <w:b/>
                <w:bCs/>
                <w:color w:val="FF0000"/>
                <w:sz w:val="20"/>
                <w:szCs w:val="20"/>
              </w:rPr>
              <w:t>d)</w:t>
            </w:r>
            <w:r w:rsidRPr="005921F5">
              <w:rPr>
                <w:rFonts w:ascii="Calibri" w:hAnsi="Calibri" w:cs="Calibri"/>
                <w:color w:val="FF0000"/>
                <w:sz w:val="20"/>
                <w:szCs w:val="20"/>
              </w:rPr>
              <w:t xml:space="preserve"> </w:t>
            </w:r>
            <w:r w:rsidRPr="005921F5">
              <w:rPr>
                <w:rFonts w:ascii="Calibri" w:hAnsi="Calibri" w:cs="Calibri"/>
                <w:color w:val="000000"/>
                <w:sz w:val="20"/>
                <w:szCs w:val="20"/>
              </w:rPr>
              <w:t>Total ajustes al Presupuesto</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0"/>
                <w:szCs w:val="20"/>
              </w:rPr>
            </w:pPr>
            <w:r w:rsidRPr="005921F5">
              <w:rPr>
                <w:rFonts w:ascii="Calibri" w:hAnsi="Calibri" w:cs="Calibri"/>
                <w:color w:val="000000"/>
                <w:sz w:val="20"/>
                <w:szCs w:val="20"/>
              </w:rPr>
              <w:t>0,00</w:t>
            </w:r>
          </w:p>
        </w:tc>
      </w:tr>
      <w:tr w:rsidR="005921F5" w:rsidRPr="005921F5" w:rsidTr="005921F5">
        <w:trPr>
          <w:trHeight w:val="435"/>
        </w:trPr>
        <w:tc>
          <w:tcPr>
            <w:tcW w:w="8200" w:type="dxa"/>
            <w:gridSpan w:val="2"/>
            <w:tcBorders>
              <w:top w:val="single" w:sz="4" w:space="0" w:color="auto"/>
              <w:left w:val="single" w:sz="4" w:space="0" w:color="auto"/>
              <w:bottom w:val="nil"/>
              <w:right w:val="single" w:sz="4" w:space="0" w:color="000000"/>
            </w:tcBorders>
            <w:shd w:val="clear" w:color="auto" w:fill="auto"/>
            <w:vAlign w:val="center"/>
            <w:hideMark/>
          </w:tcPr>
          <w:p w:rsidR="005921F5" w:rsidRPr="005921F5" w:rsidRDefault="005921F5" w:rsidP="005921F5">
            <w:pPr>
              <w:rPr>
                <w:rFonts w:ascii="Calibri" w:hAnsi="Calibri" w:cs="Calibri"/>
                <w:b/>
                <w:bCs/>
                <w:color w:val="000000"/>
                <w:sz w:val="22"/>
                <w:szCs w:val="22"/>
              </w:rPr>
            </w:pPr>
            <w:r w:rsidRPr="005921F5">
              <w:rPr>
                <w:rFonts w:ascii="Calibri" w:hAnsi="Calibri" w:cs="Calibri"/>
                <w:b/>
                <w:bCs/>
                <w:color w:val="FF0000"/>
                <w:sz w:val="22"/>
                <w:szCs w:val="22"/>
              </w:rPr>
              <w:t>e)</w:t>
            </w:r>
            <w:r w:rsidRPr="005921F5">
              <w:rPr>
                <w:rFonts w:ascii="Calibri" w:hAnsi="Calibri" w:cs="Calibri"/>
                <w:b/>
                <w:bCs/>
                <w:color w:val="000000"/>
                <w:sz w:val="22"/>
                <w:szCs w:val="22"/>
              </w:rPr>
              <w:t xml:space="preserve"> Capacidad/Necesidad de financiación (c +d): </w:t>
            </w:r>
          </w:p>
        </w:tc>
      </w:tr>
      <w:tr w:rsidR="005921F5" w:rsidRPr="005921F5" w:rsidTr="005921F5">
        <w:trPr>
          <w:trHeight w:val="435"/>
        </w:trPr>
        <w:tc>
          <w:tcPr>
            <w:tcW w:w="6320" w:type="dxa"/>
            <w:tcBorders>
              <w:top w:val="nil"/>
              <w:left w:val="single" w:sz="4" w:space="0" w:color="auto"/>
              <w:bottom w:val="single" w:sz="4" w:space="0" w:color="auto"/>
              <w:right w:val="nil"/>
            </w:tcBorders>
            <w:shd w:val="clear" w:color="auto" w:fill="auto"/>
            <w:vAlign w:val="center"/>
            <w:hideMark/>
          </w:tcPr>
          <w:p w:rsidR="005921F5" w:rsidRPr="005921F5" w:rsidRDefault="005921F5" w:rsidP="005921F5">
            <w:pPr>
              <w:jc w:val="right"/>
              <w:rPr>
                <w:rFonts w:ascii="Calibri" w:hAnsi="Calibri" w:cs="Calibri"/>
                <w:b/>
                <w:bCs/>
                <w:color w:val="0000FF"/>
                <w:sz w:val="22"/>
                <w:szCs w:val="22"/>
              </w:rPr>
            </w:pPr>
            <w:r w:rsidRPr="005921F5">
              <w:rPr>
                <w:rFonts w:ascii="Calibri" w:hAnsi="Calibri" w:cs="Calibri"/>
                <w:b/>
                <w:bCs/>
                <w:color w:val="0000FF"/>
                <w:sz w:val="22"/>
                <w:szCs w:val="22"/>
              </w:rPr>
              <w:t>CAPACIDAD DE FINANCIACION</w:t>
            </w:r>
          </w:p>
        </w:tc>
        <w:tc>
          <w:tcPr>
            <w:tcW w:w="1880" w:type="dxa"/>
            <w:tcBorders>
              <w:top w:val="nil"/>
              <w:left w:val="nil"/>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b/>
                <w:bCs/>
                <w:color w:val="000000"/>
                <w:sz w:val="22"/>
                <w:szCs w:val="22"/>
              </w:rPr>
            </w:pPr>
            <w:r w:rsidRPr="005921F5">
              <w:rPr>
                <w:rFonts w:ascii="Calibri" w:hAnsi="Calibri" w:cs="Calibri"/>
                <w:b/>
                <w:bCs/>
                <w:color w:val="000000"/>
                <w:sz w:val="22"/>
                <w:szCs w:val="22"/>
              </w:rPr>
              <w:t>0,00</w:t>
            </w:r>
          </w:p>
        </w:tc>
      </w:tr>
    </w:tbl>
    <w:p w:rsidR="005921F5" w:rsidRDefault="005921F5" w:rsidP="00062632">
      <w:pPr>
        <w:jc w:val="both"/>
        <w:rPr>
          <w:rFonts w:ascii="Calibri" w:hAnsi="Calibri" w:cs="Calibri"/>
          <w:b/>
          <w:sz w:val="20"/>
          <w:szCs w:val="20"/>
        </w:rPr>
      </w:pPr>
    </w:p>
    <w:p w:rsidR="00062632" w:rsidRDefault="00062632" w:rsidP="00062632">
      <w:pPr>
        <w:autoSpaceDE w:val="0"/>
        <w:autoSpaceDN w:val="0"/>
        <w:adjustRightInd w:val="0"/>
        <w:ind w:right="-1"/>
        <w:rPr>
          <w:rFonts w:ascii="Calibri" w:hAnsi="Calibri" w:cs="Calibri"/>
          <w:sz w:val="22"/>
          <w:szCs w:val="22"/>
          <w:highlight w:val="magenta"/>
        </w:rPr>
      </w:pPr>
    </w:p>
    <w:p w:rsidR="00062632" w:rsidRDefault="006926D2" w:rsidP="00404F36">
      <w:pPr>
        <w:autoSpaceDE w:val="0"/>
        <w:autoSpaceDN w:val="0"/>
        <w:adjustRightInd w:val="0"/>
        <w:ind w:right="-1" w:firstLine="709"/>
        <w:jc w:val="both"/>
        <w:rPr>
          <w:rFonts w:ascii="Calibri" w:hAnsi="Calibri" w:cs="Calibri"/>
          <w:b/>
          <w:sz w:val="22"/>
          <w:szCs w:val="22"/>
        </w:rPr>
      </w:pPr>
      <w:r>
        <w:rPr>
          <w:rFonts w:ascii="Calibri" w:hAnsi="Calibri" w:cs="Calibri"/>
          <w:b/>
          <w:sz w:val="22"/>
          <w:szCs w:val="22"/>
        </w:rPr>
        <w:t>5</w:t>
      </w:r>
      <w:r w:rsidR="00062632" w:rsidRPr="00C35C00">
        <w:rPr>
          <w:rFonts w:ascii="Calibri" w:hAnsi="Calibri" w:cs="Calibri"/>
          <w:b/>
          <w:sz w:val="22"/>
          <w:szCs w:val="22"/>
        </w:rPr>
        <w:t xml:space="preserve">.- </w:t>
      </w:r>
      <w:r w:rsidR="002137C3">
        <w:rPr>
          <w:rFonts w:ascii="Calibri" w:hAnsi="Calibri" w:cs="Calibri"/>
          <w:b/>
          <w:sz w:val="22"/>
          <w:szCs w:val="22"/>
        </w:rPr>
        <w:t>REGLA DE GASTO</w:t>
      </w:r>
      <w:r w:rsidR="00300524" w:rsidRPr="00C35C00">
        <w:rPr>
          <w:rFonts w:ascii="Calibri" w:hAnsi="Calibri" w:cs="Calibri"/>
          <w:b/>
          <w:sz w:val="22"/>
          <w:szCs w:val="22"/>
        </w:rPr>
        <w:t>:</w:t>
      </w:r>
      <w:r w:rsidR="003902E8">
        <w:rPr>
          <w:rFonts w:ascii="Calibri" w:hAnsi="Calibri" w:cs="Calibri"/>
          <w:b/>
          <w:sz w:val="22"/>
          <w:szCs w:val="22"/>
        </w:rPr>
        <w:t xml:space="preserve"> VARIACION DEL GASTO COMPUTABLE EN EL EJER</w:t>
      </w:r>
      <w:r w:rsidR="00300524">
        <w:rPr>
          <w:rFonts w:ascii="Calibri" w:hAnsi="Calibri" w:cs="Calibri"/>
          <w:b/>
          <w:sz w:val="22"/>
          <w:szCs w:val="22"/>
        </w:rPr>
        <w:t>CICIO</w:t>
      </w:r>
      <w:r w:rsidR="00350FD7">
        <w:rPr>
          <w:rFonts w:ascii="Calibri" w:hAnsi="Calibri" w:cs="Calibri"/>
          <w:b/>
          <w:sz w:val="22"/>
          <w:szCs w:val="22"/>
        </w:rPr>
        <w:t xml:space="preserve"> 202</w:t>
      </w:r>
      <w:r w:rsidR="000964A2">
        <w:rPr>
          <w:rFonts w:ascii="Calibri" w:hAnsi="Calibri" w:cs="Calibri"/>
          <w:b/>
          <w:sz w:val="22"/>
          <w:szCs w:val="22"/>
        </w:rPr>
        <w:t>3</w:t>
      </w:r>
      <w:r w:rsidR="004A00C2">
        <w:rPr>
          <w:rFonts w:ascii="Calibri" w:hAnsi="Calibri" w:cs="Calibri"/>
          <w:b/>
          <w:sz w:val="22"/>
          <w:szCs w:val="22"/>
        </w:rPr>
        <w:t xml:space="preserve"> RESPECTO AL 20</w:t>
      </w:r>
      <w:r w:rsidR="00350FD7">
        <w:rPr>
          <w:rFonts w:ascii="Calibri" w:hAnsi="Calibri" w:cs="Calibri"/>
          <w:b/>
          <w:sz w:val="22"/>
          <w:szCs w:val="22"/>
        </w:rPr>
        <w:t>2</w:t>
      </w:r>
      <w:r w:rsidR="000964A2">
        <w:rPr>
          <w:rFonts w:ascii="Calibri" w:hAnsi="Calibri" w:cs="Calibri"/>
          <w:b/>
          <w:sz w:val="22"/>
          <w:szCs w:val="22"/>
        </w:rPr>
        <w:t>2</w:t>
      </w:r>
      <w:r w:rsidR="003902E8">
        <w:rPr>
          <w:rFonts w:ascii="Calibri" w:hAnsi="Calibri" w:cs="Calibri"/>
          <w:b/>
          <w:sz w:val="22"/>
          <w:szCs w:val="22"/>
        </w:rPr>
        <w:t>.</w:t>
      </w:r>
    </w:p>
    <w:p w:rsidR="00575791" w:rsidRDefault="00575791" w:rsidP="00062632">
      <w:pPr>
        <w:autoSpaceDE w:val="0"/>
        <w:autoSpaceDN w:val="0"/>
        <w:adjustRightInd w:val="0"/>
        <w:ind w:right="-1"/>
        <w:jc w:val="both"/>
        <w:rPr>
          <w:rFonts w:ascii="Calibri" w:hAnsi="Calibri" w:cs="Calibri"/>
          <w:b/>
          <w:color w:val="0000FF"/>
          <w:sz w:val="22"/>
          <w:szCs w:val="22"/>
        </w:rPr>
      </w:pPr>
    </w:p>
    <w:p w:rsidR="00575791" w:rsidRDefault="00223A32" w:rsidP="00C20021">
      <w:pPr>
        <w:autoSpaceDE w:val="0"/>
        <w:autoSpaceDN w:val="0"/>
        <w:adjustRightInd w:val="0"/>
        <w:spacing w:after="120"/>
        <w:jc w:val="both"/>
        <w:rPr>
          <w:rFonts w:ascii="Calibri" w:hAnsi="Calibri" w:cs="Calibri"/>
          <w:sz w:val="22"/>
          <w:szCs w:val="22"/>
        </w:rPr>
      </w:pPr>
      <w:r>
        <w:rPr>
          <w:rFonts w:ascii="Calibri" w:hAnsi="Calibri" w:cs="Calibri"/>
          <w:sz w:val="22"/>
          <w:szCs w:val="22"/>
        </w:rPr>
        <w:tab/>
      </w:r>
      <w:r w:rsidR="00575791" w:rsidRPr="00575791">
        <w:rPr>
          <w:rFonts w:ascii="Calibri" w:hAnsi="Calibri" w:cs="Calibri"/>
          <w:sz w:val="22"/>
          <w:szCs w:val="22"/>
        </w:rPr>
        <w:t xml:space="preserve">El artículo 12 </w:t>
      </w:r>
      <w:r w:rsidR="000964A2">
        <w:rPr>
          <w:rFonts w:ascii="Calibri" w:hAnsi="Calibri" w:cs="Calibri"/>
          <w:sz w:val="22"/>
          <w:szCs w:val="22"/>
        </w:rPr>
        <w:t>LOEPSF</w:t>
      </w:r>
      <w:r w:rsidR="00575791" w:rsidRPr="00575791">
        <w:rPr>
          <w:rFonts w:ascii="Calibri" w:hAnsi="Calibri" w:cs="Calibri"/>
          <w:sz w:val="22"/>
          <w:szCs w:val="22"/>
        </w:rPr>
        <w:t xml:space="preserve"> establece e</w:t>
      </w:r>
      <w:r>
        <w:rPr>
          <w:rFonts w:ascii="Calibri" w:hAnsi="Calibri" w:cs="Calibri"/>
          <w:sz w:val="22"/>
          <w:szCs w:val="22"/>
        </w:rPr>
        <w:t xml:space="preserve">l objetivo de la </w:t>
      </w:r>
      <w:r w:rsidR="002137C3">
        <w:rPr>
          <w:rFonts w:ascii="Calibri" w:hAnsi="Calibri" w:cs="Calibri"/>
          <w:sz w:val="22"/>
          <w:szCs w:val="22"/>
        </w:rPr>
        <w:t>Regla de Gasto</w:t>
      </w:r>
      <w:r>
        <w:rPr>
          <w:rFonts w:ascii="Calibri" w:hAnsi="Calibri" w:cs="Calibri"/>
          <w:sz w:val="22"/>
          <w:szCs w:val="22"/>
        </w:rPr>
        <w:t>:</w:t>
      </w:r>
      <w:r w:rsidRPr="00223A32">
        <w:rPr>
          <w:rFonts w:ascii="Calibri" w:hAnsi="Calibri" w:cs="Calibri"/>
          <w:sz w:val="22"/>
          <w:szCs w:val="22"/>
        </w:rPr>
        <w:t xml:space="preserve"> la variación del gasto computable, entre dos ejercicios económicos, no podrá superar la tasa de referencia de crecimiento del Producto Interior Bruto de medio plazo de la economía española</w:t>
      </w:r>
      <w:r w:rsidR="00C02DEE">
        <w:rPr>
          <w:rFonts w:ascii="Calibri" w:hAnsi="Calibri" w:cs="Calibri"/>
          <w:sz w:val="22"/>
          <w:szCs w:val="22"/>
        </w:rPr>
        <w:t xml:space="preserve"> </w:t>
      </w:r>
      <w:r w:rsidR="00C02DEE" w:rsidRPr="00760003">
        <w:rPr>
          <w:rFonts w:ascii="Calibri" w:hAnsi="Calibri"/>
          <w:kern w:val="1"/>
        </w:rPr>
        <w:t>(TRCPIB)</w:t>
      </w:r>
      <w:r w:rsidR="00C02DEE">
        <w:rPr>
          <w:rFonts w:ascii="Calibri" w:hAnsi="Calibri" w:cs="Calibri"/>
          <w:sz w:val="22"/>
          <w:szCs w:val="22"/>
        </w:rPr>
        <w:t>.</w:t>
      </w:r>
    </w:p>
    <w:p w:rsidR="00575791" w:rsidRPr="00C02DEE" w:rsidRDefault="00223A32" w:rsidP="00C20021">
      <w:pPr>
        <w:autoSpaceDE w:val="0"/>
        <w:autoSpaceDN w:val="0"/>
        <w:adjustRightInd w:val="0"/>
        <w:spacing w:after="120"/>
        <w:jc w:val="both"/>
        <w:rPr>
          <w:rFonts w:ascii="Calibri" w:hAnsi="Calibri" w:cs="Calibri"/>
          <w:b/>
          <w:sz w:val="22"/>
          <w:szCs w:val="22"/>
        </w:rPr>
      </w:pPr>
      <w:r>
        <w:rPr>
          <w:rFonts w:ascii="Calibri" w:hAnsi="Calibri" w:cs="Calibri"/>
          <w:sz w:val="22"/>
          <w:szCs w:val="22"/>
        </w:rPr>
        <w:tab/>
      </w:r>
      <w:r w:rsidR="00C02DEE">
        <w:rPr>
          <w:rFonts w:ascii="Calibri" w:hAnsi="Calibri" w:cs="Calibri"/>
          <w:sz w:val="22"/>
          <w:szCs w:val="22"/>
        </w:rPr>
        <w:t xml:space="preserve">Como ya se ha indicado, se han suspendido las reglas fiscales </w:t>
      </w:r>
      <w:r w:rsidR="00A6339F">
        <w:rPr>
          <w:rFonts w:ascii="Calibri" w:hAnsi="Calibri" w:cs="Calibri"/>
          <w:sz w:val="22"/>
          <w:szCs w:val="22"/>
        </w:rPr>
        <w:t>para el ejercicio 202</w:t>
      </w:r>
      <w:r w:rsidR="00E73185">
        <w:rPr>
          <w:rFonts w:ascii="Calibri" w:hAnsi="Calibri" w:cs="Calibri"/>
          <w:sz w:val="22"/>
          <w:szCs w:val="22"/>
        </w:rPr>
        <w:t>3</w:t>
      </w:r>
      <w:r w:rsidR="00A6339F">
        <w:rPr>
          <w:rFonts w:ascii="Calibri" w:hAnsi="Calibri" w:cs="Calibri"/>
          <w:sz w:val="22"/>
          <w:szCs w:val="22"/>
        </w:rPr>
        <w:t xml:space="preserve"> y </w:t>
      </w:r>
      <w:r w:rsidR="00C02DEE">
        <w:rPr>
          <w:rFonts w:ascii="Calibri" w:hAnsi="Calibri" w:cs="Calibri"/>
          <w:sz w:val="22"/>
          <w:szCs w:val="22"/>
        </w:rPr>
        <w:t xml:space="preserve">no hay tasa de referencia, por lo que </w:t>
      </w:r>
      <w:r w:rsidR="00575791" w:rsidRPr="00C02DEE">
        <w:rPr>
          <w:rFonts w:ascii="Calibri" w:hAnsi="Calibri" w:cs="Calibri"/>
          <w:b/>
          <w:sz w:val="22"/>
          <w:szCs w:val="22"/>
        </w:rPr>
        <w:t>la información que se presenta respecto al cumplimiento de la Regla del Gasto, es relativa a</w:t>
      </w:r>
      <w:r w:rsidRPr="00C02DEE">
        <w:rPr>
          <w:rFonts w:ascii="Calibri" w:hAnsi="Calibri" w:cs="Calibri"/>
          <w:b/>
          <w:sz w:val="22"/>
          <w:szCs w:val="22"/>
        </w:rPr>
        <w:t xml:space="preserve"> </w:t>
      </w:r>
      <w:r w:rsidR="00575791" w:rsidRPr="00C02DEE">
        <w:rPr>
          <w:rFonts w:ascii="Calibri" w:hAnsi="Calibri" w:cs="Calibri"/>
          <w:b/>
          <w:sz w:val="22"/>
          <w:szCs w:val="22"/>
        </w:rPr>
        <w:t>la variación del Gasto</w:t>
      </w:r>
      <w:r w:rsidR="00A6339F">
        <w:rPr>
          <w:rFonts w:ascii="Calibri" w:hAnsi="Calibri" w:cs="Calibri"/>
          <w:b/>
          <w:sz w:val="22"/>
          <w:szCs w:val="22"/>
        </w:rPr>
        <w:t xml:space="preserve"> Computable en el ejercicio 202</w:t>
      </w:r>
      <w:r w:rsidR="00FF5758">
        <w:rPr>
          <w:rFonts w:ascii="Calibri" w:hAnsi="Calibri" w:cs="Calibri"/>
          <w:b/>
          <w:sz w:val="22"/>
          <w:szCs w:val="22"/>
        </w:rPr>
        <w:t>3</w:t>
      </w:r>
      <w:r w:rsidR="004A00C2">
        <w:rPr>
          <w:rFonts w:ascii="Calibri" w:hAnsi="Calibri" w:cs="Calibri"/>
          <w:b/>
          <w:sz w:val="22"/>
          <w:szCs w:val="22"/>
        </w:rPr>
        <w:t xml:space="preserve"> respecto al 202</w:t>
      </w:r>
      <w:r w:rsidR="00FF5758">
        <w:rPr>
          <w:rFonts w:ascii="Calibri" w:hAnsi="Calibri" w:cs="Calibri"/>
          <w:b/>
          <w:sz w:val="22"/>
          <w:szCs w:val="22"/>
        </w:rPr>
        <w:t>2</w:t>
      </w:r>
      <w:r w:rsidR="004A00C2">
        <w:rPr>
          <w:rFonts w:ascii="Calibri" w:hAnsi="Calibri" w:cs="Calibri"/>
          <w:b/>
          <w:sz w:val="22"/>
          <w:szCs w:val="22"/>
        </w:rPr>
        <w:t>.</w:t>
      </w:r>
    </w:p>
    <w:p w:rsidR="00062632" w:rsidRPr="007145DF" w:rsidRDefault="00062632" w:rsidP="00C20021">
      <w:pPr>
        <w:autoSpaceDE w:val="0"/>
        <w:autoSpaceDN w:val="0"/>
        <w:adjustRightInd w:val="0"/>
        <w:spacing w:after="120"/>
        <w:jc w:val="both"/>
        <w:rPr>
          <w:rFonts w:ascii="Calibri" w:hAnsi="Calibri" w:cs="Calibri"/>
          <w:sz w:val="22"/>
          <w:szCs w:val="22"/>
        </w:rPr>
      </w:pPr>
      <w:r>
        <w:rPr>
          <w:rFonts w:ascii="Calibri" w:hAnsi="Calibri" w:cs="Calibri"/>
          <w:sz w:val="22"/>
          <w:szCs w:val="22"/>
        </w:rPr>
        <w:tab/>
      </w:r>
      <w:r w:rsidRPr="007145DF">
        <w:rPr>
          <w:rFonts w:ascii="Calibri" w:hAnsi="Calibri" w:cs="Calibri"/>
          <w:sz w:val="22"/>
          <w:szCs w:val="22"/>
        </w:rPr>
        <w:t xml:space="preserve">En las Corporaciones Locales, para la </w:t>
      </w:r>
      <w:r w:rsidRPr="007145DF">
        <w:rPr>
          <w:rFonts w:ascii="Calibri" w:hAnsi="Calibri" w:cs="Calibri"/>
          <w:b/>
          <w:sz w:val="22"/>
          <w:szCs w:val="22"/>
        </w:rPr>
        <w:t>determinación del gasto computable</w:t>
      </w:r>
      <w:r w:rsidRPr="007145DF">
        <w:rPr>
          <w:rFonts w:ascii="Calibri" w:hAnsi="Calibri" w:cs="Calibri"/>
          <w:sz w:val="22"/>
          <w:szCs w:val="22"/>
        </w:rPr>
        <w:t xml:space="preserve">, se parte de los empleos no financieros en términos del Sistema Europeo de Cuentas excluidos los intereses de la deuda. </w:t>
      </w:r>
    </w:p>
    <w:p w:rsidR="00062632" w:rsidRPr="00300524" w:rsidRDefault="00B25318" w:rsidP="00C20021">
      <w:pPr>
        <w:autoSpaceDE w:val="0"/>
        <w:autoSpaceDN w:val="0"/>
        <w:adjustRightInd w:val="0"/>
        <w:spacing w:after="120"/>
        <w:jc w:val="both"/>
        <w:rPr>
          <w:rFonts w:ascii="Calibri" w:eastAsia="Calibri" w:hAnsi="Calibri" w:cs="Calibri"/>
          <w:b/>
          <w:color w:val="000000"/>
          <w:sz w:val="22"/>
          <w:szCs w:val="22"/>
        </w:rPr>
      </w:pPr>
      <w:r>
        <w:rPr>
          <w:rFonts w:ascii="Calibri" w:hAnsi="Calibri" w:cs="Calibri"/>
          <w:sz w:val="22"/>
          <w:szCs w:val="22"/>
        </w:rPr>
        <w:tab/>
      </w:r>
      <w:r w:rsidR="00062632" w:rsidRPr="007145DF">
        <w:rPr>
          <w:rFonts w:ascii="Calibri" w:hAnsi="Calibri" w:cs="Calibri"/>
          <w:sz w:val="22"/>
          <w:szCs w:val="22"/>
        </w:rPr>
        <w:t xml:space="preserve">Para </w:t>
      </w:r>
      <w:r w:rsidR="00062632" w:rsidRPr="007145DF">
        <w:rPr>
          <w:rFonts w:ascii="Calibri" w:eastAsia="Calibri" w:hAnsi="Calibri" w:cs="Calibri"/>
          <w:sz w:val="22"/>
          <w:szCs w:val="22"/>
        </w:rPr>
        <w:t xml:space="preserve">Entidades  sometidas a Presupuesto Limitativo/Contabilidad </w:t>
      </w:r>
      <w:r w:rsidR="00300524" w:rsidRPr="007145DF">
        <w:rPr>
          <w:rFonts w:ascii="Calibri" w:eastAsia="Calibri" w:hAnsi="Calibri" w:cs="Calibri"/>
          <w:sz w:val="22"/>
          <w:szCs w:val="22"/>
        </w:rPr>
        <w:t xml:space="preserve">Pública, </w:t>
      </w:r>
      <w:r w:rsidR="00300524" w:rsidRPr="00300524">
        <w:rPr>
          <w:rFonts w:ascii="Calibri" w:eastAsia="Calibri" w:hAnsi="Calibri" w:cs="Calibri"/>
          <w:b/>
          <w:sz w:val="22"/>
          <w:szCs w:val="22"/>
        </w:rPr>
        <w:t>el</w:t>
      </w:r>
      <w:r w:rsidR="00062632" w:rsidRPr="00300524">
        <w:rPr>
          <w:rFonts w:ascii="Calibri" w:eastAsia="Calibri" w:hAnsi="Calibri" w:cs="Calibri"/>
          <w:b/>
          <w:color w:val="000000"/>
          <w:sz w:val="22"/>
          <w:szCs w:val="22"/>
        </w:rPr>
        <w:t xml:space="preserve"> Gasto computable se calcula como:</w:t>
      </w:r>
    </w:p>
    <w:p w:rsidR="00062632" w:rsidRPr="007145DF" w:rsidRDefault="00062632" w:rsidP="00FF5758">
      <w:pPr>
        <w:autoSpaceDE w:val="0"/>
        <w:autoSpaceDN w:val="0"/>
        <w:adjustRightInd w:val="0"/>
        <w:spacing w:after="60"/>
        <w:ind w:left="1134" w:hanging="283"/>
        <w:jc w:val="both"/>
        <w:rPr>
          <w:rFonts w:ascii="Calibri" w:eastAsia="Calibri" w:hAnsi="Calibri" w:cs="Calibri"/>
          <w:color w:val="000000"/>
          <w:sz w:val="22"/>
          <w:szCs w:val="22"/>
        </w:rPr>
      </w:pPr>
      <w:r w:rsidRPr="007145DF">
        <w:rPr>
          <w:rFonts w:ascii="Calibri" w:eastAsia="Calibri" w:hAnsi="Calibri" w:cs="Calibri"/>
          <w:color w:val="000000"/>
          <w:sz w:val="22"/>
          <w:szCs w:val="22"/>
        </w:rPr>
        <w:t>(+) Empleos (gastos) no financieros, suma de los capítulos 1 a 7 de gastos, excluidos los intereses de la deuda. Del Capítulo 3 de gastos financieros únicamente se agregarán los gastos de emisión, formalización, modificación y cancelación de préstamos, deudas y otras operaciones financieras, así como los gastos por ejecución de avales. Subconceptos (301, 311, 321, 331 y 357)</w:t>
      </w:r>
    </w:p>
    <w:p w:rsidR="00062632" w:rsidRPr="007145DF" w:rsidRDefault="00062632" w:rsidP="00FF5758">
      <w:pPr>
        <w:autoSpaceDE w:val="0"/>
        <w:autoSpaceDN w:val="0"/>
        <w:adjustRightInd w:val="0"/>
        <w:spacing w:after="60"/>
        <w:ind w:left="1418" w:hanging="567"/>
        <w:jc w:val="both"/>
        <w:rPr>
          <w:rFonts w:ascii="Calibri" w:eastAsia="Calibri" w:hAnsi="Calibri" w:cs="Calibri"/>
          <w:color w:val="000000"/>
          <w:sz w:val="22"/>
          <w:szCs w:val="22"/>
        </w:rPr>
      </w:pPr>
      <w:r w:rsidRPr="007145DF">
        <w:rPr>
          <w:rFonts w:ascii="Calibri" w:eastAsia="Calibri" w:hAnsi="Calibri" w:cs="Calibri"/>
          <w:color w:val="000000"/>
          <w:sz w:val="22"/>
          <w:szCs w:val="22"/>
        </w:rPr>
        <w:t>(+/-) Ajustes cálculo Empleos no financieros según el SEC</w:t>
      </w:r>
    </w:p>
    <w:p w:rsidR="00062632" w:rsidRPr="007145DF" w:rsidRDefault="00062632" w:rsidP="00FF5758">
      <w:pPr>
        <w:autoSpaceDE w:val="0"/>
        <w:autoSpaceDN w:val="0"/>
        <w:adjustRightInd w:val="0"/>
        <w:spacing w:after="60"/>
        <w:ind w:left="1134" w:hanging="283"/>
        <w:jc w:val="both"/>
        <w:rPr>
          <w:rFonts w:ascii="Calibri" w:eastAsia="Calibri" w:hAnsi="Calibri" w:cs="Calibri"/>
          <w:color w:val="0000FF"/>
          <w:sz w:val="22"/>
          <w:szCs w:val="22"/>
        </w:rPr>
      </w:pPr>
      <w:r w:rsidRPr="007145DF">
        <w:rPr>
          <w:rFonts w:ascii="Calibri" w:eastAsia="Calibri" w:hAnsi="Calibri" w:cs="Calibri"/>
          <w:color w:val="000000"/>
          <w:sz w:val="22"/>
          <w:szCs w:val="22"/>
        </w:rPr>
        <w:t>(-) Pagos por transferencias (y otras operaciones internas) a otras Entidades que integran la  Corporación Local.</w:t>
      </w:r>
    </w:p>
    <w:p w:rsidR="00062632" w:rsidRDefault="00062632" w:rsidP="00FF5758">
      <w:pPr>
        <w:autoSpaceDE w:val="0"/>
        <w:autoSpaceDN w:val="0"/>
        <w:adjustRightInd w:val="0"/>
        <w:spacing w:after="60"/>
        <w:ind w:left="1134" w:hanging="283"/>
        <w:jc w:val="both"/>
        <w:rPr>
          <w:rFonts w:ascii="Calibri" w:eastAsia="Calibri" w:hAnsi="Calibri" w:cs="Calibri"/>
          <w:color w:val="000000"/>
          <w:sz w:val="22"/>
          <w:szCs w:val="22"/>
        </w:rPr>
      </w:pPr>
      <w:r w:rsidRPr="007145DF">
        <w:rPr>
          <w:rFonts w:ascii="Calibri" w:eastAsia="Calibri" w:hAnsi="Calibri" w:cs="Calibri"/>
          <w:color w:val="000000"/>
          <w:sz w:val="22"/>
          <w:szCs w:val="22"/>
        </w:rPr>
        <w:t>(-) La parte de gasto no financiero del Presupuesto financiado con fondos finalistas procedentes de: Unión Europea, Estado, Comunidad Autónoma, Diputación, Otras Administraciones Publicas.</w:t>
      </w:r>
    </w:p>
    <w:p w:rsidR="00245849" w:rsidRPr="00245849" w:rsidRDefault="00245849" w:rsidP="00245849">
      <w:pPr>
        <w:spacing w:after="120"/>
        <w:ind w:firstLine="709"/>
        <w:jc w:val="both"/>
        <w:rPr>
          <w:rFonts w:ascii="Calibri" w:eastAsia="Calibri" w:hAnsi="Calibri" w:cs="Calibri"/>
          <w:sz w:val="22"/>
          <w:szCs w:val="22"/>
        </w:rPr>
      </w:pPr>
      <w:r w:rsidRPr="00245849">
        <w:rPr>
          <w:rFonts w:ascii="Calibri" w:eastAsia="Calibri" w:hAnsi="Calibri" w:cs="Calibri"/>
          <w:sz w:val="22"/>
          <w:szCs w:val="22"/>
        </w:rPr>
        <w:t>El artículo 12.4 LOEPSF dispone que cuando se aprueben c</w:t>
      </w:r>
      <w:r w:rsidRPr="00245849">
        <w:rPr>
          <w:rFonts w:ascii="Calibri" w:eastAsia="Calibri" w:hAnsi="Calibri" w:cs="Calibri"/>
          <w:b/>
          <w:sz w:val="22"/>
          <w:szCs w:val="22"/>
        </w:rPr>
        <w:t>ambios normativos que supongan aumentos permanentes de la recaudación</w:t>
      </w:r>
      <w:r w:rsidRPr="00245849">
        <w:rPr>
          <w:rFonts w:ascii="Calibri" w:eastAsia="Calibri" w:hAnsi="Calibri" w:cs="Calibri"/>
          <w:sz w:val="22"/>
          <w:szCs w:val="22"/>
        </w:rPr>
        <w:t xml:space="preserve">, el nivel de gasto computable resultante de la aplicación de la regla en los años en que se obtengan los aumentos de recaudación podrá aumentar en la cuantía equivalente. Cuando se aprueben </w:t>
      </w:r>
      <w:r w:rsidRPr="00245849">
        <w:rPr>
          <w:rFonts w:ascii="Calibri" w:eastAsia="Calibri" w:hAnsi="Calibri" w:cs="Calibri"/>
          <w:b/>
          <w:sz w:val="22"/>
          <w:szCs w:val="22"/>
        </w:rPr>
        <w:t>cambios normativos que supongan disminuciones de la recaudación,</w:t>
      </w:r>
      <w:r w:rsidRPr="00245849">
        <w:rPr>
          <w:rFonts w:ascii="Calibri" w:eastAsia="Calibri" w:hAnsi="Calibri" w:cs="Calibri"/>
          <w:sz w:val="22"/>
          <w:szCs w:val="22"/>
        </w:rPr>
        <w:t xml:space="preserve"> el nivel de gasto computable resultante de la aplicación de la regla en los años en que se produzcan las disminuciones de recaudación deberá disminuirse en la cuantía equivalente.</w:t>
      </w:r>
    </w:p>
    <w:p w:rsidR="00664CBD" w:rsidRDefault="00664CBD" w:rsidP="00664CBD">
      <w:pPr>
        <w:autoSpaceDE w:val="0"/>
        <w:autoSpaceDN w:val="0"/>
        <w:adjustRightInd w:val="0"/>
        <w:spacing w:after="120"/>
        <w:jc w:val="both"/>
        <w:rPr>
          <w:rFonts w:ascii="Calibri" w:hAnsi="Calibri" w:cs="Calibri"/>
          <w:sz w:val="22"/>
          <w:szCs w:val="22"/>
        </w:rPr>
      </w:pPr>
      <w:r>
        <w:rPr>
          <w:rFonts w:ascii="Calibri" w:hAnsi="Calibri" w:cs="Calibri"/>
          <w:sz w:val="22"/>
          <w:szCs w:val="22"/>
        </w:rPr>
        <w:t xml:space="preserve">                  </w:t>
      </w:r>
      <w:r w:rsidR="009628EB" w:rsidRPr="00664CBD">
        <w:rPr>
          <w:rFonts w:ascii="Calibri" w:hAnsi="Calibri" w:cs="Calibri"/>
          <w:i/>
          <w:sz w:val="22"/>
          <w:szCs w:val="22"/>
          <w:highlight w:val="lightGray"/>
        </w:rPr>
        <w:t>(En</w:t>
      </w:r>
      <w:r w:rsidRPr="00664CBD">
        <w:rPr>
          <w:rFonts w:ascii="Calibri" w:hAnsi="Calibri" w:cs="Calibri"/>
          <w:i/>
          <w:sz w:val="22"/>
          <w:szCs w:val="22"/>
          <w:highlight w:val="lightGray"/>
        </w:rPr>
        <w:t xml:space="preserve"> su </w:t>
      </w:r>
      <w:r w:rsidR="009628EB" w:rsidRPr="00664CBD">
        <w:rPr>
          <w:rFonts w:ascii="Calibri" w:hAnsi="Calibri" w:cs="Calibri"/>
          <w:i/>
          <w:sz w:val="22"/>
          <w:szCs w:val="22"/>
          <w:highlight w:val="lightGray"/>
        </w:rPr>
        <w:t>caso)</w:t>
      </w:r>
      <w:r w:rsidR="009628EB" w:rsidRPr="00664CBD">
        <w:rPr>
          <w:rFonts w:ascii="Calibri" w:hAnsi="Calibri" w:cs="Calibri"/>
          <w:i/>
          <w:sz w:val="22"/>
          <w:szCs w:val="22"/>
        </w:rPr>
        <w:t xml:space="preserve"> </w:t>
      </w:r>
      <w:r w:rsidR="009628EB">
        <w:rPr>
          <w:rFonts w:ascii="Calibri" w:hAnsi="Calibri" w:cs="Calibri"/>
          <w:i/>
          <w:sz w:val="22"/>
          <w:szCs w:val="22"/>
        </w:rPr>
        <w:t>Los</w:t>
      </w:r>
      <w:r w:rsidRPr="00A30C00">
        <w:rPr>
          <w:rFonts w:ascii="Calibri" w:hAnsi="Calibri" w:cs="Calibri"/>
          <w:sz w:val="22"/>
          <w:szCs w:val="22"/>
        </w:rPr>
        <w:t xml:space="preserve"> </w:t>
      </w:r>
      <w:r w:rsidRPr="00A30C00">
        <w:rPr>
          <w:rFonts w:ascii="Calibri" w:hAnsi="Calibri" w:cs="Calibri"/>
          <w:b/>
          <w:sz w:val="22"/>
          <w:szCs w:val="22"/>
        </w:rPr>
        <w:t>incrementos</w:t>
      </w:r>
      <w:r w:rsidRPr="00C41B17">
        <w:rPr>
          <w:rFonts w:ascii="Calibri" w:hAnsi="Calibri" w:cs="Calibri"/>
          <w:b/>
          <w:sz w:val="22"/>
          <w:szCs w:val="22"/>
        </w:rPr>
        <w:t xml:space="preserve"> y disminuciones de recaudación derivados de cambios normativos en el ejercicio 202</w:t>
      </w:r>
      <w:r w:rsidR="005754BC">
        <w:rPr>
          <w:rFonts w:ascii="Calibri" w:hAnsi="Calibri" w:cs="Calibri"/>
          <w:b/>
          <w:sz w:val="22"/>
          <w:szCs w:val="22"/>
        </w:rPr>
        <w:t>3</w:t>
      </w:r>
      <w:r w:rsidR="00A30C00">
        <w:rPr>
          <w:rFonts w:ascii="Calibri" w:hAnsi="Calibri" w:cs="Calibri"/>
          <w:b/>
          <w:sz w:val="22"/>
          <w:szCs w:val="22"/>
        </w:rPr>
        <w:t xml:space="preserve"> </w:t>
      </w:r>
      <w:r w:rsidR="00305747">
        <w:rPr>
          <w:rFonts w:ascii="Calibri" w:hAnsi="Calibri" w:cs="Calibri"/>
          <w:b/>
          <w:sz w:val="22"/>
          <w:szCs w:val="22"/>
        </w:rPr>
        <w:t>son</w:t>
      </w:r>
      <w:r w:rsidR="00305747">
        <w:rPr>
          <w:rFonts w:ascii="Calibri" w:hAnsi="Calibri" w:cs="Calibri"/>
          <w:sz w:val="22"/>
          <w:szCs w:val="22"/>
        </w:rPr>
        <w:t>:</w:t>
      </w:r>
    </w:p>
    <w:tbl>
      <w:tblPr>
        <w:tblStyle w:val="Tablaconcuadrcula"/>
        <w:tblW w:w="0" w:type="auto"/>
        <w:tblLook w:val="04A0" w:firstRow="1" w:lastRow="0" w:firstColumn="1" w:lastColumn="0" w:noHBand="0" w:noVBand="1"/>
      </w:tblPr>
      <w:tblGrid>
        <w:gridCol w:w="4318"/>
        <w:gridCol w:w="4319"/>
      </w:tblGrid>
      <w:tr w:rsidR="005754BC" w:rsidTr="005754BC">
        <w:tc>
          <w:tcPr>
            <w:tcW w:w="4318" w:type="dxa"/>
          </w:tcPr>
          <w:p w:rsidR="005754BC" w:rsidRDefault="005754BC" w:rsidP="005754BC">
            <w:pPr>
              <w:autoSpaceDE w:val="0"/>
              <w:autoSpaceDN w:val="0"/>
              <w:adjustRightInd w:val="0"/>
              <w:spacing w:after="120"/>
              <w:jc w:val="center"/>
              <w:rPr>
                <w:rFonts w:ascii="Calibri" w:hAnsi="Calibri" w:cs="Calibri"/>
                <w:sz w:val="22"/>
                <w:szCs w:val="22"/>
              </w:rPr>
            </w:pPr>
            <w:r w:rsidRPr="00A30C00">
              <w:rPr>
                <w:rFonts w:ascii="Calibri" w:hAnsi="Calibri" w:cs="Calibri"/>
                <w:sz w:val="22"/>
                <w:szCs w:val="22"/>
                <w:u w:val="single"/>
              </w:rPr>
              <w:t>Breve descripción del cambio normativo</w:t>
            </w:r>
          </w:p>
        </w:tc>
        <w:tc>
          <w:tcPr>
            <w:tcW w:w="4319" w:type="dxa"/>
          </w:tcPr>
          <w:p w:rsidR="005754BC" w:rsidRDefault="005754BC" w:rsidP="000D3A55">
            <w:pPr>
              <w:autoSpaceDE w:val="0"/>
              <w:autoSpaceDN w:val="0"/>
              <w:adjustRightInd w:val="0"/>
              <w:spacing w:after="120"/>
              <w:jc w:val="center"/>
              <w:rPr>
                <w:rFonts w:ascii="Calibri" w:hAnsi="Calibri" w:cs="Calibri"/>
                <w:sz w:val="22"/>
                <w:szCs w:val="22"/>
              </w:rPr>
            </w:pPr>
            <w:r w:rsidRPr="00A30C00">
              <w:rPr>
                <w:rFonts w:ascii="Calibri" w:hAnsi="Calibri" w:cs="Calibri"/>
                <w:sz w:val="22"/>
                <w:szCs w:val="22"/>
                <w:u w:val="single"/>
              </w:rPr>
              <w:t>Importe Incr(+)/dismin(-) en Liquidación 202</w:t>
            </w:r>
            <w:r w:rsidR="000D3A55">
              <w:rPr>
                <w:rFonts w:ascii="Calibri" w:hAnsi="Calibri" w:cs="Calibri"/>
                <w:sz w:val="22"/>
                <w:szCs w:val="22"/>
                <w:u w:val="single"/>
              </w:rPr>
              <w:t>3</w:t>
            </w:r>
          </w:p>
        </w:tc>
      </w:tr>
      <w:tr w:rsidR="005754BC" w:rsidTr="005754BC">
        <w:tc>
          <w:tcPr>
            <w:tcW w:w="4318" w:type="dxa"/>
          </w:tcPr>
          <w:p w:rsidR="005754BC" w:rsidRDefault="005754BC" w:rsidP="005754BC">
            <w:pPr>
              <w:autoSpaceDE w:val="0"/>
              <w:autoSpaceDN w:val="0"/>
              <w:adjustRightInd w:val="0"/>
              <w:spacing w:after="120"/>
              <w:jc w:val="center"/>
              <w:rPr>
                <w:rFonts w:ascii="Calibri" w:hAnsi="Calibri" w:cs="Calibri"/>
                <w:sz w:val="22"/>
                <w:szCs w:val="22"/>
              </w:rPr>
            </w:pPr>
            <w:r w:rsidRPr="00C7390D">
              <w:rPr>
                <w:rFonts w:ascii="Calibri" w:hAnsi="Calibri" w:cs="Calibri"/>
                <w:i/>
                <w:sz w:val="22"/>
                <w:szCs w:val="22"/>
                <w:highlight w:val="lightGray"/>
              </w:rPr>
              <w:t>Ejemplo: Imposición y ordenación ICIO</w:t>
            </w:r>
          </w:p>
        </w:tc>
        <w:tc>
          <w:tcPr>
            <w:tcW w:w="4319" w:type="dxa"/>
          </w:tcPr>
          <w:p w:rsidR="005754BC" w:rsidRDefault="005754BC" w:rsidP="005754BC">
            <w:pPr>
              <w:autoSpaceDE w:val="0"/>
              <w:autoSpaceDN w:val="0"/>
              <w:adjustRightInd w:val="0"/>
              <w:spacing w:after="120"/>
              <w:jc w:val="center"/>
              <w:rPr>
                <w:rFonts w:ascii="Calibri" w:hAnsi="Calibri" w:cs="Calibri"/>
                <w:sz w:val="22"/>
                <w:szCs w:val="22"/>
              </w:rPr>
            </w:pPr>
            <w:r w:rsidRPr="00C7390D">
              <w:rPr>
                <w:rFonts w:ascii="Calibri" w:hAnsi="Calibri" w:cs="Calibri"/>
                <w:i/>
                <w:sz w:val="22"/>
                <w:szCs w:val="22"/>
                <w:highlight w:val="lightGray"/>
              </w:rPr>
              <w:t>5.000€</w:t>
            </w:r>
          </w:p>
        </w:tc>
      </w:tr>
      <w:tr w:rsidR="005754BC" w:rsidTr="005754BC">
        <w:tc>
          <w:tcPr>
            <w:tcW w:w="4318" w:type="dxa"/>
          </w:tcPr>
          <w:p w:rsidR="005754BC" w:rsidRDefault="005754BC" w:rsidP="005754BC">
            <w:pPr>
              <w:autoSpaceDE w:val="0"/>
              <w:autoSpaceDN w:val="0"/>
              <w:adjustRightInd w:val="0"/>
              <w:spacing w:after="120"/>
              <w:jc w:val="center"/>
              <w:rPr>
                <w:rFonts w:ascii="Calibri" w:hAnsi="Calibri" w:cs="Calibri"/>
                <w:sz w:val="22"/>
                <w:szCs w:val="22"/>
              </w:rPr>
            </w:pPr>
            <w:r w:rsidRPr="00C7390D">
              <w:rPr>
                <w:rFonts w:ascii="Calibri" w:hAnsi="Calibri" w:cs="Calibri"/>
                <w:i/>
                <w:sz w:val="22"/>
                <w:szCs w:val="22"/>
                <w:highlight w:val="lightGray"/>
              </w:rPr>
              <w:t>Ejemplo: Bonificación potestativa.... IBI</w:t>
            </w:r>
          </w:p>
        </w:tc>
        <w:tc>
          <w:tcPr>
            <w:tcW w:w="4319" w:type="dxa"/>
          </w:tcPr>
          <w:p w:rsidR="005754BC" w:rsidRDefault="005754BC" w:rsidP="005754BC">
            <w:pPr>
              <w:autoSpaceDE w:val="0"/>
              <w:autoSpaceDN w:val="0"/>
              <w:adjustRightInd w:val="0"/>
              <w:spacing w:after="120"/>
              <w:jc w:val="center"/>
              <w:rPr>
                <w:rFonts w:ascii="Calibri" w:hAnsi="Calibri" w:cs="Calibri"/>
                <w:sz w:val="22"/>
                <w:szCs w:val="22"/>
              </w:rPr>
            </w:pPr>
            <w:r w:rsidRPr="00C7390D">
              <w:rPr>
                <w:rFonts w:ascii="Calibri" w:hAnsi="Calibri" w:cs="Calibri"/>
                <w:i/>
                <w:sz w:val="22"/>
                <w:szCs w:val="22"/>
                <w:highlight w:val="lightGray"/>
              </w:rPr>
              <w:t>-2.000€</w:t>
            </w:r>
          </w:p>
        </w:tc>
      </w:tr>
    </w:tbl>
    <w:p w:rsidR="005754BC" w:rsidRDefault="005754BC" w:rsidP="00664CBD">
      <w:pPr>
        <w:autoSpaceDE w:val="0"/>
        <w:autoSpaceDN w:val="0"/>
        <w:adjustRightInd w:val="0"/>
        <w:spacing w:after="120"/>
        <w:jc w:val="both"/>
        <w:rPr>
          <w:rFonts w:ascii="Calibri" w:hAnsi="Calibri" w:cs="Calibri"/>
          <w:sz w:val="22"/>
          <w:szCs w:val="22"/>
        </w:rPr>
      </w:pPr>
    </w:p>
    <w:p w:rsidR="00245849" w:rsidRDefault="00A30C00" w:rsidP="005754BC">
      <w:pPr>
        <w:autoSpaceDE w:val="0"/>
        <w:autoSpaceDN w:val="0"/>
        <w:adjustRightInd w:val="0"/>
        <w:spacing w:after="120"/>
        <w:rPr>
          <w:rFonts w:ascii="Calibri" w:hAnsi="Calibri" w:cs="Calibri"/>
          <w:i/>
          <w:sz w:val="22"/>
          <w:szCs w:val="22"/>
          <w:highlight w:val="lightGray"/>
        </w:rPr>
      </w:pPr>
      <w:r>
        <w:rPr>
          <w:rFonts w:ascii="Calibri" w:hAnsi="Calibri" w:cs="Calibri"/>
          <w:sz w:val="22"/>
          <w:szCs w:val="22"/>
        </w:rPr>
        <w:tab/>
      </w:r>
      <w:r w:rsidR="00866D67" w:rsidRPr="00866D67">
        <w:rPr>
          <w:rFonts w:ascii="Calibri" w:hAnsi="Calibri" w:cs="Calibri"/>
          <w:i/>
          <w:sz w:val="22"/>
          <w:szCs w:val="22"/>
          <w:highlight w:val="lightGray"/>
        </w:rPr>
        <w:t>Nota, inversiones financieramente sostenibles 202</w:t>
      </w:r>
      <w:r w:rsidR="005754BC">
        <w:rPr>
          <w:rFonts w:ascii="Calibri" w:hAnsi="Calibri" w:cs="Calibri"/>
          <w:i/>
          <w:sz w:val="22"/>
          <w:szCs w:val="22"/>
          <w:highlight w:val="lightGray"/>
        </w:rPr>
        <w:t>3</w:t>
      </w:r>
      <w:r w:rsidR="00866D67" w:rsidRPr="00866D67">
        <w:rPr>
          <w:rFonts w:ascii="Calibri" w:hAnsi="Calibri" w:cs="Calibri"/>
          <w:i/>
          <w:sz w:val="22"/>
          <w:szCs w:val="22"/>
          <w:highlight w:val="lightGray"/>
        </w:rPr>
        <w:t>: Al no ser de aplicación el apartado 5 de la disposición adicional decimosexta del RDL 2/2004, de 5 de marzo, no se podrán reconocer obligaciones en gastos de inversión financieramente sostenibles en el 202</w:t>
      </w:r>
      <w:r w:rsidR="005754BC">
        <w:rPr>
          <w:rFonts w:ascii="Calibri" w:hAnsi="Calibri" w:cs="Calibri"/>
          <w:i/>
          <w:sz w:val="22"/>
          <w:szCs w:val="22"/>
          <w:highlight w:val="lightGray"/>
        </w:rPr>
        <w:t>3</w:t>
      </w:r>
      <w:r w:rsidR="00866D67" w:rsidRPr="00866D67">
        <w:rPr>
          <w:rFonts w:ascii="Calibri" w:hAnsi="Calibri" w:cs="Calibri"/>
          <w:i/>
          <w:sz w:val="22"/>
          <w:szCs w:val="22"/>
          <w:highlight w:val="lightGray"/>
        </w:rPr>
        <w:t xml:space="preserve"> con cargo al superávit del 2020 y 2021.</w:t>
      </w:r>
    </w:p>
    <w:p w:rsidR="00062632" w:rsidRDefault="00062632" w:rsidP="005754BC">
      <w:pPr>
        <w:jc w:val="center"/>
        <w:rPr>
          <w:rFonts w:ascii="Calibri" w:hAnsi="Calibri" w:cs="Calibri"/>
          <w:b/>
          <w:sz w:val="20"/>
          <w:szCs w:val="20"/>
        </w:rPr>
      </w:pPr>
      <w:r w:rsidRPr="007145DF">
        <w:rPr>
          <w:rFonts w:ascii="Calibri" w:hAnsi="Calibri" w:cs="Calibri"/>
          <w:b/>
          <w:sz w:val="20"/>
          <w:szCs w:val="20"/>
        </w:rPr>
        <w:t>(</w:t>
      </w:r>
      <w:r w:rsidRPr="007145DF">
        <w:rPr>
          <w:rFonts w:ascii="Calibri" w:hAnsi="Calibri" w:cs="Calibri"/>
          <w:b/>
          <w:sz w:val="20"/>
          <w:szCs w:val="20"/>
          <w:highlight w:val="lightGray"/>
        </w:rPr>
        <w:t xml:space="preserve">Utilizar la hoja Excel </w:t>
      </w:r>
      <w:r w:rsidR="002137C3">
        <w:rPr>
          <w:rFonts w:ascii="Calibri" w:hAnsi="Calibri" w:cs="Calibri"/>
          <w:b/>
          <w:sz w:val="20"/>
          <w:szCs w:val="20"/>
          <w:highlight w:val="lightGray"/>
        </w:rPr>
        <w:t>REGLA DE GASTO</w:t>
      </w:r>
      <w:r w:rsidRPr="007145DF">
        <w:rPr>
          <w:rFonts w:ascii="Calibri" w:hAnsi="Calibri" w:cs="Calibri"/>
          <w:b/>
          <w:sz w:val="20"/>
          <w:szCs w:val="20"/>
          <w:highlight w:val="lightGray"/>
        </w:rPr>
        <w:t>, y copiar la tabla)</w:t>
      </w:r>
    </w:p>
    <w:p w:rsidR="00493635" w:rsidRDefault="00493635" w:rsidP="00062632">
      <w:pPr>
        <w:jc w:val="both"/>
        <w:rPr>
          <w:rFonts w:ascii="Calibri" w:hAnsi="Calibri" w:cs="Calibri"/>
          <w:b/>
          <w:sz w:val="20"/>
          <w:szCs w:val="20"/>
        </w:rPr>
      </w:pPr>
    </w:p>
    <w:tbl>
      <w:tblPr>
        <w:tblW w:w="9780" w:type="dxa"/>
        <w:tblCellMar>
          <w:left w:w="70" w:type="dxa"/>
          <w:right w:w="70" w:type="dxa"/>
        </w:tblCellMar>
        <w:tblLook w:val="04A0" w:firstRow="1" w:lastRow="0" w:firstColumn="1" w:lastColumn="0" w:noHBand="0" w:noVBand="1"/>
      </w:tblPr>
      <w:tblGrid>
        <w:gridCol w:w="6520"/>
        <w:gridCol w:w="1600"/>
        <w:gridCol w:w="1660"/>
      </w:tblGrid>
      <w:tr w:rsidR="005921F5" w:rsidRPr="005921F5" w:rsidTr="005921F5">
        <w:trPr>
          <w:trHeight w:val="1500"/>
        </w:trPr>
        <w:tc>
          <w:tcPr>
            <w:tcW w:w="6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jc w:val="center"/>
              <w:rPr>
                <w:rFonts w:ascii="Calibri" w:hAnsi="Calibri" w:cs="Calibri"/>
                <w:color w:val="000000"/>
                <w:sz w:val="22"/>
                <w:szCs w:val="22"/>
              </w:rPr>
            </w:pPr>
            <w:r w:rsidRPr="005921F5">
              <w:rPr>
                <w:rFonts w:ascii="Calibri" w:hAnsi="Calibri" w:cs="Calibri"/>
                <w:color w:val="000000"/>
                <w:sz w:val="22"/>
                <w:szCs w:val="22"/>
              </w:rPr>
              <w:t>Concepto</w:t>
            </w:r>
          </w:p>
        </w:tc>
        <w:tc>
          <w:tcPr>
            <w:tcW w:w="1600" w:type="dxa"/>
            <w:tcBorders>
              <w:top w:val="single" w:sz="4" w:space="0" w:color="auto"/>
              <w:left w:val="nil"/>
              <w:bottom w:val="single" w:sz="4" w:space="0" w:color="auto"/>
              <w:right w:val="single" w:sz="4" w:space="0" w:color="auto"/>
            </w:tcBorders>
            <w:shd w:val="clear" w:color="auto" w:fill="auto"/>
            <w:hideMark/>
          </w:tcPr>
          <w:p w:rsidR="005921F5" w:rsidRPr="005921F5" w:rsidRDefault="005921F5" w:rsidP="005921F5">
            <w:pPr>
              <w:jc w:val="center"/>
              <w:rPr>
                <w:rFonts w:ascii="Calibri" w:hAnsi="Calibri" w:cs="Calibri"/>
                <w:b/>
                <w:bCs/>
                <w:color w:val="0000FF"/>
                <w:sz w:val="22"/>
                <w:szCs w:val="22"/>
              </w:rPr>
            </w:pPr>
            <w:r w:rsidRPr="005921F5">
              <w:rPr>
                <w:rFonts w:ascii="Calibri" w:hAnsi="Calibri" w:cs="Calibri"/>
                <w:b/>
                <w:bCs/>
                <w:color w:val="0000FF"/>
                <w:sz w:val="22"/>
                <w:szCs w:val="22"/>
              </w:rPr>
              <w:t>Liquidación 202</w:t>
            </w:r>
            <w:r w:rsidR="005754BC">
              <w:rPr>
                <w:rFonts w:ascii="Calibri" w:hAnsi="Calibri" w:cs="Calibri"/>
                <w:b/>
                <w:bCs/>
                <w:color w:val="0000FF"/>
                <w:sz w:val="22"/>
                <w:szCs w:val="22"/>
              </w:rPr>
              <w:t>2</w:t>
            </w:r>
            <w:r w:rsidRPr="005921F5">
              <w:rPr>
                <w:rFonts w:ascii="Calibri" w:hAnsi="Calibri" w:cs="Calibri"/>
                <w:b/>
                <w:bCs/>
                <w:color w:val="0000FF"/>
                <w:sz w:val="22"/>
                <w:szCs w:val="22"/>
              </w:rPr>
              <w:t xml:space="preserve"> Obligaciones reconocidas            (1)</w:t>
            </w:r>
          </w:p>
        </w:tc>
        <w:tc>
          <w:tcPr>
            <w:tcW w:w="1660" w:type="dxa"/>
            <w:tcBorders>
              <w:top w:val="single" w:sz="4" w:space="0" w:color="auto"/>
              <w:left w:val="nil"/>
              <w:bottom w:val="single" w:sz="4" w:space="0" w:color="auto"/>
              <w:right w:val="single" w:sz="4" w:space="0" w:color="auto"/>
            </w:tcBorders>
            <w:shd w:val="clear" w:color="000000" w:fill="FFFFFF"/>
            <w:hideMark/>
          </w:tcPr>
          <w:p w:rsidR="005921F5" w:rsidRPr="005921F5" w:rsidRDefault="005921F5" w:rsidP="005921F5">
            <w:pPr>
              <w:jc w:val="center"/>
              <w:rPr>
                <w:rFonts w:ascii="Calibri" w:hAnsi="Calibri" w:cs="Calibri"/>
                <w:b/>
                <w:bCs/>
                <w:color w:val="0000FF"/>
                <w:sz w:val="22"/>
                <w:szCs w:val="22"/>
              </w:rPr>
            </w:pPr>
            <w:r w:rsidRPr="005921F5">
              <w:rPr>
                <w:rFonts w:ascii="Calibri" w:hAnsi="Calibri" w:cs="Calibri"/>
                <w:b/>
                <w:bCs/>
                <w:color w:val="0000FF"/>
                <w:sz w:val="22"/>
                <w:szCs w:val="22"/>
              </w:rPr>
              <w:t>Liquidación 202</w:t>
            </w:r>
            <w:r w:rsidR="005754BC">
              <w:rPr>
                <w:rFonts w:ascii="Calibri" w:hAnsi="Calibri" w:cs="Calibri"/>
                <w:b/>
                <w:bCs/>
                <w:color w:val="0000FF"/>
                <w:sz w:val="22"/>
                <w:szCs w:val="22"/>
              </w:rPr>
              <w:t>3</w:t>
            </w:r>
            <w:r w:rsidRPr="005921F5">
              <w:rPr>
                <w:rFonts w:ascii="Calibri" w:hAnsi="Calibri" w:cs="Calibri"/>
                <w:b/>
                <w:bCs/>
                <w:color w:val="0000FF"/>
                <w:sz w:val="22"/>
                <w:szCs w:val="22"/>
              </w:rPr>
              <w:t xml:space="preserve"> Obligaciones reconocidas</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sz w:val="22"/>
                <w:szCs w:val="22"/>
              </w:rPr>
            </w:pPr>
            <w:r w:rsidRPr="005921F5">
              <w:rPr>
                <w:rFonts w:ascii="Calibri" w:hAnsi="Calibri" w:cs="Calibri"/>
                <w:b/>
                <w:bCs/>
                <w:sz w:val="22"/>
                <w:szCs w:val="22"/>
              </w:rPr>
              <w:t>Suma de los Capítulos 1 a 7 de gastos</w:t>
            </w:r>
            <w:r w:rsidRPr="005921F5">
              <w:rPr>
                <w:rFonts w:ascii="Calibri" w:hAnsi="Calibri" w:cs="Calibri"/>
                <w:sz w:val="22"/>
                <w:szCs w:val="22"/>
              </w:rPr>
              <w:t xml:space="preserve"> (2)</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b/>
                <w:bCs/>
                <w:sz w:val="22"/>
                <w:szCs w:val="22"/>
              </w:rPr>
            </w:pPr>
            <w:r w:rsidRPr="005921F5">
              <w:rPr>
                <w:rFonts w:ascii="Calibri" w:hAnsi="Calibri" w:cs="Calibri"/>
                <w:b/>
                <w:bCs/>
                <w:sz w:val="22"/>
                <w:szCs w:val="22"/>
              </w:rPr>
              <w:t>Ajustes calculo empleos no financieros según el SEC</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 Enajenación de terrenos y demás inversiones reales.</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 Inversiones realizadas por cuenta de una Corporación Local (5)</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 Ejecución de Avales.</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 xml:space="preserve">(+) Aportaciones de capital. </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 Asunción y cancelación de deudas.</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6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FF"/>
                <w:sz w:val="22"/>
                <w:szCs w:val="22"/>
              </w:rPr>
            </w:pPr>
            <w:r w:rsidRPr="005921F5">
              <w:rPr>
                <w:rFonts w:ascii="Calibri" w:hAnsi="Calibri" w:cs="Calibri"/>
                <w:color w:val="0000FF"/>
                <w:sz w:val="22"/>
                <w:szCs w:val="22"/>
              </w:rPr>
              <w:t>(+/-) Gastos realizados en el ejercicio pendientes de aplicar al presupuesto.</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6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 xml:space="preserve">(+/-) Pagos a socios privados realizados en el marco de las Asociaciones público privadas. </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 Adquisiciones con pago aplazado.</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 Arrendamiento financiero.</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 Préstamos.</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 xml:space="preserve">(-) Mecanismo extraordinario de pago a proveedores </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6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sz w:val="22"/>
                <w:szCs w:val="22"/>
              </w:rPr>
            </w:pPr>
            <w:r w:rsidRPr="005921F5">
              <w:rPr>
                <w:rFonts w:ascii="Calibri" w:hAnsi="Calibri" w:cs="Calibri"/>
                <w:sz w:val="22"/>
                <w:szCs w:val="22"/>
              </w:rPr>
              <w:t xml:space="preserve">(-) Inversiones realizadas por la Corporación Local por cuenta de otra Administración Pública (6)                   </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6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sz w:val="22"/>
                <w:szCs w:val="22"/>
              </w:rPr>
            </w:pPr>
            <w:r w:rsidRPr="005921F5">
              <w:rPr>
                <w:rFonts w:ascii="Calibri" w:hAnsi="Calibri" w:cs="Calibri"/>
                <w:sz w:val="22"/>
                <w:szCs w:val="22"/>
              </w:rPr>
              <w:t>(+/-) Ajuste por grado de ejecución del gasto</w:t>
            </w:r>
          </w:p>
        </w:tc>
        <w:tc>
          <w:tcPr>
            <w:tcW w:w="160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No procede en liquidación</w:t>
            </w:r>
          </w:p>
        </w:tc>
        <w:tc>
          <w:tcPr>
            <w:tcW w:w="166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No procede en liquidación</w:t>
            </w:r>
          </w:p>
        </w:tc>
      </w:tr>
      <w:tr w:rsidR="005921F5" w:rsidRPr="005921F5" w:rsidTr="005921F5">
        <w:trPr>
          <w:trHeight w:val="3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color w:val="000000"/>
                <w:sz w:val="22"/>
                <w:szCs w:val="22"/>
              </w:rPr>
            </w:pPr>
            <w:r w:rsidRPr="005921F5">
              <w:rPr>
                <w:rFonts w:ascii="Calibri" w:hAnsi="Calibri" w:cs="Calibri"/>
                <w:color w:val="000000"/>
                <w:sz w:val="22"/>
                <w:szCs w:val="22"/>
              </w:rPr>
              <w:t>Otros (Especificar)(4)</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6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b/>
                <w:bCs/>
                <w:sz w:val="22"/>
                <w:szCs w:val="22"/>
              </w:rPr>
            </w:pPr>
            <w:r w:rsidRPr="005921F5">
              <w:rPr>
                <w:rFonts w:ascii="Calibri" w:hAnsi="Calibri" w:cs="Calibri"/>
                <w:b/>
                <w:bCs/>
                <w:sz w:val="22"/>
                <w:szCs w:val="22"/>
              </w:rPr>
              <w:t>Empleos no financieros (Cap. 1 a 7) términos SEC excepto intereses de la deuda</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600"/>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b/>
                <w:bCs/>
                <w:color w:val="000000"/>
                <w:sz w:val="22"/>
                <w:szCs w:val="22"/>
              </w:rPr>
            </w:pPr>
            <w:r w:rsidRPr="005921F5">
              <w:rPr>
                <w:rFonts w:ascii="Calibri" w:hAnsi="Calibri" w:cs="Calibri"/>
                <w:b/>
                <w:bCs/>
                <w:color w:val="000000"/>
                <w:sz w:val="22"/>
                <w:szCs w:val="22"/>
              </w:rPr>
              <w:t>(-) Pagos por transferencias (y otras operaciones internas) a otras entidades que integran la Corporación Local</w:t>
            </w:r>
            <w:r w:rsidRPr="005921F5">
              <w:rPr>
                <w:rFonts w:ascii="Calibri" w:hAnsi="Calibri" w:cs="Calibri"/>
                <w:color w:val="000000"/>
                <w:sz w:val="22"/>
                <w:szCs w:val="22"/>
              </w:rPr>
              <w:t xml:space="preserve"> (3)</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w:t>
            </w:r>
          </w:p>
        </w:tc>
      </w:tr>
      <w:tr w:rsidR="005921F5" w:rsidRPr="005921F5" w:rsidTr="005921F5">
        <w:trPr>
          <w:trHeight w:val="615"/>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rPr>
                <w:rFonts w:ascii="Calibri" w:hAnsi="Calibri" w:cs="Calibri"/>
                <w:b/>
                <w:bCs/>
                <w:sz w:val="22"/>
                <w:szCs w:val="22"/>
              </w:rPr>
            </w:pPr>
            <w:r w:rsidRPr="005921F5">
              <w:rPr>
                <w:rFonts w:ascii="Calibri" w:hAnsi="Calibri" w:cs="Calibri"/>
                <w:b/>
                <w:bCs/>
                <w:sz w:val="22"/>
                <w:szCs w:val="22"/>
              </w:rPr>
              <w:t>(-) Gasto financiado con fondos finalistas procedentes de la Unión Europea o de otras Administraciones públicas</w:t>
            </w: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315"/>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(-)Unión Europea</w:t>
            </w:r>
          </w:p>
        </w:tc>
        <w:tc>
          <w:tcPr>
            <w:tcW w:w="1600" w:type="dxa"/>
            <w:tcBorders>
              <w:top w:val="single" w:sz="8" w:space="0" w:color="auto"/>
              <w:left w:val="single" w:sz="8" w:space="0" w:color="auto"/>
              <w:bottom w:val="single" w:sz="8" w:space="0" w:color="auto"/>
              <w:right w:val="single" w:sz="8" w:space="0" w:color="auto"/>
            </w:tcBorders>
            <w:shd w:val="clear" w:color="000000" w:fill="FFFFFF"/>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single" w:sz="4" w:space="0" w:color="auto"/>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315"/>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(-)Estado</w:t>
            </w:r>
          </w:p>
        </w:tc>
        <w:tc>
          <w:tcPr>
            <w:tcW w:w="1600" w:type="dxa"/>
            <w:tcBorders>
              <w:top w:val="nil"/>
              <w:left w:val="single" w:sz="8" w:space="0" w:color="auto"/>
              <w:bottom w:val="single" w:sz="8" w:space="0" w:color="auto"/>
              <w:right w:val="single" w:sz="8" w:space="0" w:color="auto"/>
            </w:tcBorders>
            <w:shd w:val="clear" w:color="000000" w:fill="FFFFFF"/>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single" w:sz="4" w:space="0" w:color="auto"/>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315"/>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(-)Comunidad Autónoma</w:t>
            </w:r>
          </w:p>
        </w:tc>
        <w:tc>
          <w:tcPr>
            <w:tcW w:w="1600" w:type="dxa"/>
            <w:tcBorders>
              <w:top w:val="nil"/>
              <w:left w:val="single" w:sz="8" w:space="0" w:color="auto"/>
              <w:bottom w:val="single" w:sz="8" w:space="0" w:color="auto"/>
              <w:right w:val="single" w:sz="8" w:space="0" w:color="auto"/>
            </w:tcBorders>
            <w:shd w:val="clear" w:color="000000" w:fill="FFFFFF"/>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single" w:sz="4" w:space="0" w:color="auto"/>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315"/>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(-)Diputaciones</w:t>
            </w:r>
          </w:p>
        </w:tc>
        <w:tc>
          <w:tcPr>
            <w:tcW w:w="1600" w:type="dxa"/>
            <w:tcBorders>
              <w:top w:val="nil"/>
              <w:left w:val="single" w:sz="8" w:space="0" w:color="auto"/>
              <w:bottom w:val="single" w:sz="8" w:space="0" w:color="auto"/>
              <w:right w:val="single" w:sz="8" w:space="0" w:color="auto"/>
            </w:tcBorders>
            <w:shd w:val="clear" w:color="000000" w:fill="FFFFFF"/>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single" w:sz="4" w:space="0" w:color="auto"/>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315"/>
        </w:trPr>
        <w:tc>
          <w:tcPr>
            <w:tcW w:w="6520" w:type="dxa"/>
            <w:tcBorders>
              <w:top w:val="nil"/>
              <w:left w:val="single" w:sz="4" w:space="0" w:color="auto"/>
              <w:bottom w:val="single" w:sz="4" w:space="0" w:color="auto"/>
              <w:right w:val="single" w:sz="4" w:space="0" w:color="auto"/>
            </w:tcBorders>
            <w:shd w:val="clear" w:color="auto" w:fill="auto"/>
            <w:vAlign w:val="center"/>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(-)Otras Administraciones Publicas</w:t>
            </w:r>
          </w:p>
        </w:tc>
        <w:tc>
          <w:tcPr>
            <w:tcW w:w="1600" w:type="dxa"/>
            <w:tcBorders>
              <w:top w:val="nil"/>
              <w:left w:val="single" w:sz="8" w:space="0" w:color="auto"/>
              <w:bottom w:val="single" w:sz="8" w:space="0" w:color="auto"/>
              <w:right w:val="single" w:sz="8" w:space="0" w:color="auto"/>
            </w:tcBorders>
            <w:shd w:val="clear" w:color="000000" w:fill="FFFFFF"/>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single" w:sz="4" w:space="0" w:color="auto"/>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900"/>
        </w:trPr>
        <w:tc>
          <w:tcPr>
            <w:tcW w:w="6520" w:type="dxa"/>
            <w:vMerge w:val="restart"/>
            <w:tcBorders>
              <w:top w:val="nil"/>
              <w:left w:val="single" w:sz="4" w:space="0" w:color="auto"/>
              <w:bottom w:val="single" w:sz="4" w:space="0" w:color="000000"/>
              <w:right w:val="single" w:sz="4" w:space="0" w:color="auto"/>
            </w:tcBorders>
            <w:shd w:val="clear" w:color="auto" w:fill="auto"/>
            <w:vAlign w:val="center"/>
            <w:hideMark/>
          </w:tcPr>
          <w:p w:rsidR="005921F5" w:rsidRPr="005921F5" w:rsidRDefault="005921F5" w:rsidP="005921F5">
            <w:pPr>
              <w:rPr>
                <w:rFonts w:ascii="Calibri" w:hAnsi="Calibri" w:cs="Calibri"/>
                <w:b/>
                <w:bCs/>
                <w:color w:val="0000FF"/>
                <w:sz w:val="22"/>
                <w:szCs w:val="22"/>
              </w:rPr>
            </w:pPr>
            <w:r w:rsidRPr="005921F5">
              <w:rPr>
                <w:rFonts w:ascii="Calibri" w:hAnsi="Calibri" w:cs="Calibri"/>
                <w:b/>
                <w:bCs/>
                <w:color w:val="0000FF"/>
                <w:sz w:val="22"/>
                <w:szCs w:val="22"/>
              </w:rPr>
              <w:t xml:space="preserve">Total de Gasto computable del ejercicio </w:t>
            </w:r>
          </w:p>
        </w:tc>
        <w:tc>
          <w:tcPr>
            <w:tcW w:w="1600" w:type="dxa"/>
            <w:tcBorders>
              <w:top w:val="single" w:sz="4" w:space="0" w:color="auto"/>
              <w:left w:val="nil"/>
              <w:bottom w:val="nil"/>
              <w:right w:val="single" w:sz="4" w:space="0" w:color="auto"/>
            </w:tcBorders>
            <w:shd w:val="clear" w:color="auto" w:fill="auto"/>
            <w:hideMark/>
          </w:tcPr>
          <w:p w:rsidR="005921F5" w:rsidRPr="005921F5" w:rsidRDefault="005921F5" w:rsidP="005921F5">
            <w:pPr>
              <w:jc w:val="center"/>
              <w:rPr>
                <w:rFonts w:ascii="Calibri" w:hAnsi="Calibri" w:cs="Calibri"/>
                <w:color w:val="0000FF"/>
                <w:sz w:val="22"/>
                <w:szCs w:val="22"/>
              </w:rPr>
            </w:pPr>
            <w:r w:rsidRPr="005921F5">
              <w:rPr>
                <w:rFonts w:ascii="Calibri" w:hAnsi="Calibri" w:cs="Calibri"/>
                <w:color w:val="0000FF"/>
                <w:sz w:val="22"/>
                <w:szCs w:val="22"/>
              </w:rPr>
              <w:t>Gasto computable 202</w:t>
            </w:r>
            <w:r w:rsidR="005754BC">
              <w:rPr>
                <w:rFonts w:ascii="Calibri" w:hAnsi="Calibri" w:cs="Calibri"/>
                <w:color w:val="0000FF"/>
                <w:sz w:val="22"/>
                <w:szCs w:val="22"/>
              </w:rPr>
              <w:t>2</w:t>
            </w:r>
          </w:p>
        </w:tc>
        <w:tc>
          <w:tcPr>
            <w:tcW w:w="1660" w:type="dxa"/>
            <w:tcBorders>
              <w:top w:val="nil"/>
              <w:left w:val="nil"/>
              <w:bottom w:val="nil"/>
              <w:right w:val="single" w:sz="4" w:space="0" w:color="auto"/>
            </w:tcBorders>
            <w:shd w:val="clear" w:color="auto" w:fill="auto"/>
            <w:hideMark/>
          </w:tcPr>
          <w:p w:rsidR="005921F5" w:rsidRPr="005921F5" w:rsidRDefault="005921F5" w:rsidP="005921F5">
            <w:pPr>
              <w:jc w:val="center"/>
              <w:rPr>
                <w:rFonts w:ascii="Calibri" w:hAnsi="Calibri" w:cs="Calibri"/>
                <w:color w:val="0000FF"/>
                <w:sz w:val="22"/>
                <w:szCs w:val="22"/>
              </w:rPr>
            </w:pPr>
            <w:r w:rsidRPr="005921F5">
              <w:rPr>
                <w:rFonts w:ascii="Calibri" w:hAnsi="Calibri" w:cs="Calibri"/>
                <w:color w:val="0000FF"/>
                <w:sz w:val="22"/>
                <w:szCs w:val="22"/>
              </w:rPr>
              <w:t>Gasto computable 202</w:t>
            </w:r>
            <w:r w:rsidR="005754BC">
              <w:rPr>
                <w:rFonts w:ascii="Calibri" w:hAnsi="Calibri" w:cs="Calibri"/>
                <w:color w:val="0000FF"/>
                <w:sz w:val="22"/>
                <w:szCs w:val="22"/>
              </w:rPr>
              <w:t>3</w:t>
            </w:r>
          </w:p>
        </w:tc>
      </w:tr>
      <w:tr w:rsidR="005921F5" w:rsidRPr="005921F5" w:rsidTr="005921F5">
        <w:trPr>
          <w:trHeight w:val="300"/>
        </w:trPr>
        <w:tc>
          <w:tcPr>
            <w:tcW w:w="6520" w:type="dxa"/>
            <w:vMerge/>
            <w:tcBorders>
              <w:top w:val="nil"/>
              <w:left w:val="single" w:sz="4" w:space="0" w:color="auto"/>
              <w:bottom w:val="single" w:sz="4" w:space="0" w:color="000000"/>
              <w:right w:val="single" w:sz="4" w:space="0" w:color="auto"/>
            </w:tcBorders>
            <w:vAlign w:val="center"/>
            <w:hideMark/>
          </w:tcPr>
          <w:p w:rsidR="005921F5" w:rsidRPr="005921F5" w:rsidRDefault="005921F5" w:rsidP="005921F5">
            <w:pPr>
              <w:rPr>
                <w:rFonts w:ascii="Calibri" w:hAnsi="Calibri" w:cs="Calibri"/>
                <w:b/>
                <w:bCs/>
                <w:color w:val="0000FF"/>
                <w:sz w:val="22"/>
                <w:szCs w:val="22"/>
              </w:rPr>
            </w:pP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300"/>
        </w:trPr>
        <w:tc>
          <w:tcPr>
            <w:tcW w:w="6520" w:type="dxa"/>
            <w:vMerge w:val="restart"/>
            <w:tcBorders>
              <w:top w:val="nil"/>
              <w:left w:val="single" w:sz="4" w:space="0" w:color="auto"/>
              <w:bottom w:val="single" w:sz="4" w:space="0" w:color="000000"/>
              <w:right w:val="single" w:sz="4" w:space="0" w:color="auto"/>
            </w:tcBorders>
            <w:shd w:val="clear" w:color="auto" w:fill="auto"/>
            <w:vAlign w:val="center"/>
            <w:hideMark/>
          </w:tcPr>
          <w:p w:rsidR="005921F5" w:rsidRPr="005921F5" w:rsidRDefault="005921F5" w:rsidP="005921F5">
            <w:pPr>
              <w:rPr>
                <w:rFonts w:ascii="Calibri" w:hAnsi="Calibri" w:cs="Calibri"/>
                <w:b/>
                <w:bCs/>
                <w:color w:val="0000FF"/>
                <w:sz w:val="22"/>
                <w:szCs w:val="22"/>
              </w:rPr>
            </w:pPr>
            <w:r w:rsidRPr="005921F5">
              <w:rPr>
                <w:rFonts w:ascii="Calibri" w:hAnsi="Calibri" w:cs="Calibri"/>
                <w:b/>
                <w:bCs/>
                <w:color w:val="0000FF"/>
                <w:sz w:val="22"/>
                <w:szCs w:val="22"/>
              </w:rPr>
              <w:t xml:space="preserve">(-) Inversiones Financieramente sostenibles(IFS)                </w:t>
            </w:r>
          </w:p>
        </w:tc>
        <w:tc>
          <w:tcPr>
            <w:tcW w:w="160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center"/>
              <w:rPr>
                <w:rFonts w:ascii="Calibri" w:hAnsi="Calibri" w:cs="Calibri"/>
                <w:color w:val="0000FF"/>
                <w:sz w:val="22"/>
                <w:szCs w:val="22"/>
              </w:rPr>
            </w:pPr>
            <w:r w:rsidRPr="005921F5">
              <w:rPr>
                <w:rFonts w:ascii="Calibri" w:hAnsi="Calibri" w:cs="Calibri"/>
                <w:color w:val="0000FF"/>
                <w:sz w:val="22"/>
                <w:szCs w:val="22"/>
              </w:rPr>
              <w:t>IFS 2021</w:t>
            </w:r>
          </w:p>
        </w:tc>
        <w:tc>
          <w:tcPr>
            <w:tcW w:w="166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center"/>
              <w:rPr>
                <w:rFonts w:ascii="Calibri" w:hAnsi="Calibri" w:cs="Calibri"/>
                <w:color w:val="0000FF"/>
                <w:sz w:val="22"/>
                <w:szCs w:val="22"/>
              </w:rPr>
            </w:pPr>
            <w:r w:rsidRPr="005921F5">
              <w:rPr>
                <w:rFonts w:ascii="Calibri" w:hAnsi="Calibri" w:cs="Calibri"/>
                <w:color w:val="0000FF"/>
                <w:sz w:val="22"/>
                <w:szCs w:val="22"/>
              </w:rPr>
              <w:t>IFS 2022</w:t>
            </w:r>
          </w:p>
        </w:tc>
      </w:tr>
      <w:tr w:rsidR="005921F5" w:rsidRPr="005921F5" w:rsidTr="005921F5">
        <w:trPr>
          <w:trHeight w:val="465"/>
        </w:trPr>
        <w:tc>
          <w:tcPr>
            <w:tcW w:w="6520" w:type="dxa"/>
            <w:vMerge/>
            <w:tcBorders>
              <w:top w:val="nil"/>
              <w:left w:val="single" w:sz="4" w:space="0" w:color="auto"/>
              <w:bottom w:val="single" w:sz="4" w:space="0" w:color="000000"/>
              <w:right w:val="single" w:sz="4" w:space="0" w:color="auto"/>
            </w:tcBorders>
            <w:vAlign w:val="center"/>
            <w:hideMark/>
          </w:tcPr>
          <w:p w:rsidR="005921F5" w:rsidRPr="005921F5" w:rsidRDefault="005921F5" w:rsidP="005921F5">
            <w:pPr>
              <w:rPr>
                <w:rFonts w:ascii="Calibri" w:hAnsi="Calibri" w:cs="Calibri"/>
                <w:b/>
                <w:bCs/>
                <w:color w:val="0000FF"/>
                <w:sz w:val="22"/>
                <w:szCs w:val="22"/>
              </w:rPr>
            </w:pP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No procede</w:t>
            </w:r>
          </w:p>
        </w:tc>
      </w:tr>
      <w:tr w:rsidR="005921F5" w:rsidRPr="005921F5" w:rsidTr="005921F5">
        <w:trPr>
          <w:trHeight w:val="1200"/>
        </w:trPr>
        <w:tc>
          <w:tcPr>
            <w:tcW w:w="6520" w:type="dxa"/>
            <w:vMerge w:val="restart"/>
            <w:tcBorders>
              <w:top w:val="nil"/>
              <w:left w:val="single" w:sz="4" w:space="0" w:color="auto"/>
              <w:bottom w:val="single" w:sz="4" w:space="0" w:color="000000"/>
              <w:right w:val="single" w:sz="4" w:space="0" w:color="auto"/>
            </w:tcBorders>
            <w:shd w:val="clear" w:color="auto" w:fill="auto"/>
            <w:vAlign w:val="center"/>
            <w:hideMark/>
          </w:tcPr>
          <w:p w:rsidR="005921F5" w:rsidRPr="005921F5" w:rsidRDefault="005921F5" w:rsidP="005921F5">
            <w:pPr>
              <w:rPr>
                <w:rFonts w:ascii="Calibri" w:hAnsi="Calibri" w:cs="Calibri"/>
                <w:b/>
                <w:bCs/>
                <w:color w:val="0000FF"/>
                <w:sz w:val="22"/>
                <w:szCs w:val="22"/>
              </w:rPr>
            </w:pPr>
            <w:r w:rsidRPr="005921F5">
              <w:rPr>
                <w:rFonts w:ascii="Calibri" w:hAnsi="Calibri" w:cs="Calibri"/>
                <w:b/>
                <w:bCs/>
                <w:color w:val="0000FF"/>
                <w:sz w:val="22"/>
                <w:szCs w:val="22"/>
              </w:rPr>
              <w:t xml:space="preserve">Total de Gasto computable del ejercicio, ajustado IFS </w:t>
            </w:r>
          </w:p>
        </w:tc>
        <w:tc>
          <w:tcPr>
            <w:tcW w:w="160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center"/>
              <w:rPr>
                <w:rFonts w:ascii="Calibri" w:hAnsi="Calibri" w:cs="Calibri"/>
                <w:color w:val="0000FF"/>
                <w:sz w:val="22"/>
                <w:szCs w:val="22"/>
              </w:rPr>
            </w:pPr>
            <w:r w:rsidRPr="005921F5">
              <w:rPr>
                <w:rFonts w:ascii="Calibri" w:hAnsi="Calibri" w:cs="Calibri"/>
                <w:color w:val="0000FF"/>
                <w:sz w:val="22"/>
                <w:szCs w:val="22"/>
              </w:rPr>
              <w:t>Gasto computable 202</w:t>
            </w:r>
            <w:r w:rsidR="005754BC">
              <w:rPr>
                <w:rFonts w:ascii="Calibri" w:hAnsi="Calibri" w:cs="Calibri"/>
                <w:color w:val="0000FF"/>
                <w:sz w:val="22"/>
                <w:szCs w:val="22"/>
              </w:rPr>
              <w:t>2</w:t>
            </w:r>
            <w:r w:rsidRPr="005921F5">
              <w:rPr>
                <w:rFonts w:ascii="Calibri" w:hAnsi="Calibri" w:cs="Calibri"/>
                <w:color w:val="0000FF"/>
                <w:sz w:val="22"/>
                <w:szCs w:val="22"/>
              </w:rPr>
              <w:t>, ajustado IFS</w:t>
            </w:r>
          </w:p>
        </w:tc>
        <w:tc>
          <w:tcPr>
            <w:tcW w:w="1660" w:type="dxa"/>
            <w:tcBorders>
              <w:top w:val="nil"/>
              <w:left w:val="nil"/>
              <w:bottom w:val="single" w:sz="4" w:space="0" w:color="auto"/>
              <w:right w:val="single" w:sz="4" w:space="0" w:color="auto"/>
            </w:tcBorders>
            <w:shd w:val="clear" w:color="auto" w:fill="auto"/>
            <w:hideMark/>
          </w:tcPr>
          <w:p w:rsidR="005921F5" w:rsidRPr="005921F5" w:rsidRDefault="005921F5" w:rsidP="005921F5">
            <w:pPr>
              <w:jc w:val="center"/>
              <w:rPr>
                <w:rFonts w:ascii="Calibri" w:hAnsi="Calibri" w:cs="Calibri"/>
                <w:color w:val="0000FF"/>
                <w:sz w:val="22"/>
                <w:szCs w:val="22"/>
              </w:rPr>
            </w:pPr>
            <w:r w:rsidRPr="005921F5">
              <w:rPr>
                <w:rFonts w:ascii="Calibri" w:hAnsi="Calibri" w:cs="Calibri"/>
                <w:color w:val="0000FF"/>
                <w:sz w:val="22"/>
                <w:szCs w:val="22"/>
              </w:rPr>
              <w:t>Gasto computable 202</w:t>
            </w:r>
            <w:r w:rsidR="005754BC">
              <w:rPr>
                <w:rFonts w:ascii="Calibri" w:hAnsi="Calibri" w:cs="Calibri"/>
                <w:color w:val="0000FF"/>
                <w:sz w:val="22"/>
                <w:szCs w:val="22"/>
              </w:rPr>
              <w:t>3</w:t>
            </w:r>
            <w:r w:rsidRPr="005921F5">
              <w:rPr>
                <w:rFonts w:ascii="Calibri" w:hAnsi="Calibri" w:cs="Calibri"/>
                <w:color w:val="0000FF"/>
                <w:sz w:val="22"/>
                <w:szCs w:val="22"/>
              </w:rPr>
              <w:t>, ajustado IFS</w:t>
            </w:r>
          </w:p>
        </w:tc>
      </w:tr>
      <w:tr w:rsidR="005921F5" w:rsidRPr="005921F5" w:rsidTr="005921F5">
        <w:trPr>
          <w:trHeight w:val="300"/>
        </w:trPr>
        <w:tc>
          <w:tcPr>
            <w:tcW w:w="6520" w:type="dxa"/>
            <w:vMerge/>
            <w:tcBorders>
              <w:top w:val="nil"/>
              <w:left w:val="single" w:sz="4" w:space="0" w:color="auto"/>
              <w:bottom w:val="single" w:sz="4" w:space="0" w:color="000000"/>
              <w:right w:val="single" w:sz="4" w:space="0" w:color="auto"/>
            </w:tcBorders>
            <w:vAlign w:val="center"/>
            <w:hideMark/>
          </w:tcPr>
          <w:p w:rsidR="005921F5" w:rsidRPr="005921F5" w:rsidRDefault="005921F5" w:rsidP="005921F5">
            <w:pPr>
              <w:rPr>
                <w:rFonts w:ascii="Calibri" w:hAnsi="Calibri" w:cs="Calibri"/>
                <w:b/>
                <w:bCs/>
                <w:color w:val="0000FF"/>
                <w:sz w:val="22"/>
                <w:szCs w:val="22"/>
              </w:rPr>
            </w:pPr>
          </w:p>
        </w:tc>
        <w:tc>
          <w:tcPr>
            <w:tcW w:w="160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555"/>
        </w:trPr>
        <w:tc>
          <w:tcPr>
            <w:tcW w:w="8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921F5" w:rsidRPr="005921F5" w:rsidRDefault="005921F5" w:rsidP="005921F5">
            <w:pPr>
              <w:rPr>
                <w:rFonts w:ascii="Calibri" w:hAnsi="Calibri" w:cs="Calibri"/>
                <w:b/>
                <w:bCs/>
                <w:color w:val="0000FF"/>
                <w:sz w:val="22"/>
                <w:szCs w:val="22"/>
              </w:rPr>
            </w:pPr>
            <w:r w:rsidRPr="005921F5">
              <w:rPr>
                <w:rFonts w:ascii="Calibri" w:hAnsi="Calibri" w:cs="Calibri"/>
                <w:b/>
                <w:bCs/>
                <w:color w:val="0000FF"/>
                <w:sz w:val="22"/>
                <w:szCs w:val="22"/>
              </w:rPr>
              <w:t>(-/+) Incrementos/disminuciones de recaudación por cambios normativos considerados en la Liquidación 202</w:t>
            </w:r>
            <w:r w:rsidR="005754BC">
              <w:rPr>
                <w:rFonts w:ascii="Calibri" w:hAnsi="Calibri" w:cs="Calibri"/>
                <w:b/>
                <w:bCs/>
                <w:color w:val="0000FF"/>
                <w:sz w:val="22"/>
                <w:szCs w:val="22"/>
              </w:rPr>
              <w:t>3</w:t>
            </w:r>
            <w:r w:rsidRPr="005921F5">
              <w:rPr>
                <w:rFonts w:ascii="Calibri" w:hAnsi="Calibri" w:cs="Calibri"/>
                <w:b/>
                <w:bCs/>
                <w:color w:val="0000FF"/>
                <w:sz w:val="22"/>
                <w:szCs w:val="22"/>
              </w:rPr>
              <w:t xml:space="preserve"> (art.12.4) </w:t>
            </w:r>
            <w:r w:rsidRPr="005921F5">
              <w:rPr>
                <w:rFonts w:ascii="Calibri" w:hAnsi="Calibri" w:cs="Calibri"/>
                <w:color w:val="FF0000"/>
                <w:sz w:val="22"/>
                <w:szCs w:val="22"/>
              </w:rPr>
              <w:t>(b)</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300"/>
        </w:trPr>
        <w:tc>
          <w:tcPr>
            <w:tcW w:w="8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(+)Detalle de incrementos:</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315"/>
        </w:trPr>
        <w:tc>
          <w:tcPr>
            <w:tcW w:w="8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 Detalle de disminuciones:</w:t>
            </w:r>
          </w:p>
        </w:tc>
        <w:tc>
          <w:tcPr>
            <w:tcW w:w="1660" w:type="dxa"/>
            <w:tcBorders>
              <w:top w:val="nil"/>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color w:val="000000"/>
                <w:sz w:val="22"/>
                <w:szCs w:val="22"/>
              </w:rPr>
            </w:pPr>
            <w:r w:rsidRPr="005921F5">
              <w:rPr>
                <w:rFonts w:ascii="Calibri" w:hAnsi="Calibri" w:cs="Calibri"/>
                <w:color w:val="000000"/>
                <w:sz w:val="22"/>
                <w:szCs w:val="22"/>
              </w:rPr>
              <w:t>0,00</w:t>
            </w:r>
          </w:p>
        </w:tc>
      </w:tr>
      <w:tr w:rsidR="005921F5" w:rsidRPr="005921F5" w:rsidTr="005921F5">
        <w:trPr>
          <w:trHeight w:val="540"/>
        </w:trPr>
        <w:tc>
          <w:tcPr>
            <w:tcW w:w="812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5921F5" w:rsidRPr="005921F5" w:rsidRDefault="005921F5" w:rsidP="005921F5">
            <w:pPr>
              <w:jc w:val="right"/>
              <w:rPr>
                <w:rFonts w:ascii="Calibri" w:hAnsi="Calibri" w:cs="Calibri"/>
                <w:b/>
                <w:bCs/>
                <w:color w:val="0000FF"/>
                <w:sz w:val="22"/>
                <w:szCs w:val="22"/>
              </w:rPr>
            </w:pPr>
            <w:r w:rsidRPr="005921F5">
              <w:rPr>
                <w:rFonts w:ascii="Calibri" w:hAnsi="Calibri" w:cs="Calibri"/>
                <w:b/>
                <w:bCs/>
                <w:color w:val="0000FF"/>
                <w:sz w:val="22"/>
                <w:szCs w:val="22"/>
              </w:rPr>
              <w:t>% incremento gasto computable 202</w:t>
            </w:r>
            <w:r w:rsidR="005754BC">
              <w:rPr>
                <w:rFonts w:ascii="Calibri" w:hAnsi="Calibri" w:cs="Calibri"/>
                <w:b/>
                <w:bCs/>
                <w:color w:val="0000FF"/>
                <w:sz w:val="22"/>
                <w:szCs w:val="22"/>
              </w:rPr>
              <w:t>3</w:t>
            </w:r>
            <w:r w:rsidRPr="005921F5">
              <w:rPr>
                <w:rFonts w:ascii="Calibri" w:hAnsi="Calibri" w:cs="Calibri"/>
                <w:b/>
                <w:bCs/>
                <w:color w:val="0000FF"/>
                <w:sz w:val="22"/>
                <w:szCs w:val="22"/>
              </w:rPr>
              <w:t xml:space="preserve"> s/ 202</w:t>
            </w:r>
            <w:r w:rsidR="005754BC">
              <w:rPr>
                <w:rFonts w:ascii="Calibri" w:hAnsi="Calibri" w:cs="Calibri"/>
                <w:b/>
                <w:bCs/>
                <w:color w:val="0000FF"/>
                <w:sz w:val="22"/>
                <w:szCs w:val="22"/>
              </w:rPr>
              <w:t>2</w:t>
            </w:r>
          </w:p>
        </w:tc>
        <w:tc>
          <w:tcPr>
            <w:tcW w:w="1660" w:type="dxa"/>
            <w:tcBorders>
              <w:top w:val="single" w:sz="4" w:space="0" w:color="auto"/>
              <w:left w:val="nil"/>
              <w:bottom w:val="single" w:sz="4" w:space="0" w:color="auto"/>
              <w:right w:val="single" w:sz="4" w:space="0" w:color="auto"/>
            </w:tcBorders>
            <w:shd w:val="clear" w:color="auto" w:fill="auto"/>
            <w:noWrap/>
            <w:hideMark/>
          </w:tcPr>
          <w:p w:rsidR="005921F5" w:rsidRPr="005921F5" w:rsidRDefault="005921F5" w:rsidP="005921F5">
            <w:pPr>
              <w:jc w:val="right"/>
              <w:rPr>
                <w:rFonts w:ascii="Calibri" w:hAnsi="Calibri" w:cs="Calibri"/>
                <w:sz w:val="22"/>
                <w:szCs w:val="22"/>
              </w:rPr>
            </w:pPr>
            <w:r w:rsidRPr="005921F5">
              <w:rPr>
                <w:rFonts w:ascii="Calibri" w:hAnsi="Calibri" w:cs="Calibri"/>
                <w:sz w:val="22"/>
                <w:szCs w:val="22"/>
              </w:rPr>
              <w:t>#¡DIV/0!</w:t>
            </w:r>
          </w:p>
        </w:tc>
      </w:tr>
    </w:tbl>
    <w:p w:rsidR="00493635" w:rsidRPr="007145DF" w:rsidRDefault="00493635" w:rsidP="00062632">
      <w:pPr>
        <w:jc w:val="both"/>
        <w:rPr>
          <w:rFonts w:ascii="Calibri" w:hAnsi="Calibri" w:cs="Calibri"/>
          <w:b/>
          <w:sz w:val="20"/>
          <w:szCs w:val="20"/>
        </w:rPr>
      </w:pPr>
    </w:p>
    <w:p w:rsidR="00062632" w:rsidRPr="00C27CFE" w:rsidRDefault="00062632" w:rsidP="00E157C3">
      <w:pPr>
        <w:ind w:right="-1"/>
        <w:jc w:val="both"/>
        <w:rPr>
          <w:rFonts w:ascii="Calibri" w:hAnsi="Calibri" w:cs="Calibri"/>
          <w:sz w:val="20"/>
          <w:szCs w:val="20"/>
          <w:highlight w:val="green"/>
        </w:rPr>
      </w:pPr>
    </w:p>
    <w:p w:rsidR="00062632" w:rsidRPr="00C35C00" w:rsidRDefault="00062632" w:rsidP="00062632">
      <w:pPr>
        <w:ind w:right="-1"/>
        <w:jc w:val="both"/>
        <w:rPr>
          <w:rFonts w:ascii="Calibri" w:hAnsi="Calibri" w:cs="Calibri"/>
          <w:sz w:val="22"/>
          <w:szCs w:val="22"/>
        </w:rPr>
      </w:pPr>
    </w:p>
    <w:p w:rsidR="00062632" w:rsidRDefault="006926D2" w:rsidP="005C259F">
      <w:pPr>
        <w:ind w:right="-1" w:firstLine="709"/>
        <w:jc w:val="both"/>
        <w:rPr>
          <w:rFonts w:ascii="Calibri" w:hAnsi="Calibri" w:cs="Calibri"/>
          <w:b/>
          <w:sz w:val="22"/>
          <w:szCs w:val="22"/>
        </w:rPr>
      </w:pPr>
      <w:r>
        <w:rPr>
          <w:rFonts w:ascii="Calibri" w:hAnsi="Calibri" w:cs="Calibri"/>
          <w:b/>
          <w:sz w:val="22"/>
          <w:szCs w:val="22"/>
        </w:rPr>
        <w:t>6</w:t>
      </w:r>
      <w:r w:rsidR="00603B8E" w:rsidRPr="006926D2">
        <w:rPr>
          <w:rFonts w:ascii="Calibri" w:hAnsi="Calibri" w:cs="Calibri"/>
          <w:b/>
          <w:sz w:val="22"/>
          <w:szCs w:val="22"/>
        </w:rPr>
        <w:t xml:space="preserve">.- </w:t>
      </w:r>
      <w:r w:rsidR="002137C3">
        <w:rPr>
          <w:rFonts w:ascii="Calibri" w:hAnsi="Calibri" w:cs="Calibri"/>
          <w:b/>
          <w:sz w:val="22"/>
          <w:szCs w:val="22"/>
        </w:rPr>
        <w:t>NIVEL DE DEUDA</w:t>
      </w:r>
      <w:r w:rsidR="00603B8E" w:rsidRPr="006926D2">
        <w:rPr>
          <w:rFonts w:ascii="Calibri" w:hAnsi="Calibri" w:cs="Calibri"/>
          <w:b/>
          <w:sz w:val="22"/>
          <w:szCs w:val="22"/>
        </w:rPr>
        <w:t xml:space="preserve"> </w:t>
      </w:r>
    </w:p>
    <w:p w:rsidR="00062632" w:rsidRPr="00C35C00" w:rsidRDefault="00062632" w:rsidP="00062632">
      <w:pPr>
        <w:ind w:right="-1"/>
        <w:jc w:val="both"/>
        <w:rPr>
          <w:rFonts w:ascii="Calibri" w:hAnsi="Calibri" w:cs="Calibri"/>
          <w:b/>
          <w:sz w:val="22"/>
          <w:szCs w:val="22"/>
        </w:rPr>
      </w:pPr>
    </w:p>
    <w:p w:rsidR="006236FF" w:rsidRPr="007C5BC0" w:rsidRDefault="00062632" w:rsidP="006236FF">
      <w:pPr>
        <w:spacing w:after="120"/>
        <w:jc w:val="both"/>
        <w:rPr>
          <w:rFonts w:ascii="Calibri" w:eastAsia="Calibri" w:hAnsi="Calibri" w:cs="Calibri"/>
          <w:color w:val="000000"/>
          <w:sz w:val="22"/>
          <w:szCs w:val="22"/>
        </w:rPr>
      </w:pPr>
      <w:r w:rsidRPr="00C35C00">
        <w:rPr>
          <w:rFonts w:ascii="Calibri" w:hAnsi="Calibri" w:cs="Calibri"/>
          <w:sz w:val="22"/>
          <w:szCs w:val="22"/>
        </w:rPr>
        <w:tab/>
      </w:r>
      <w:r w:rsidR="00603B8E" w:rsidRPr="007C5BC0">
        <w:rPr>
          <w:rFonts w:ascii="Calibri" w:eastAsia="Calibri" w:hAnsi="Calibri" w:cs="Calibri"/>
          <w:color w:val="000000"/>
          <w:sz w:val="22"/>
          <w:szCs w:val="22"/>
        </w:rPr>
        <w:t xml:space="preserve">A </w:t>
      </w:r>
      <w:r w:rsidR="009628EB" w:rsidRPr="007C5BC0">
        <w:rPr>
          <w:rFonts w:ascii="Calibri" w:eastAsia="Calibri" w:hAnsi="Calibri" w:cs="Calibri"/>
          <w:color w:val="000000"/>
          <w:sz w:val="22"/>
          <w:szCs w:val="22"/>
        </w:rPr>
        <w:t>continuación,</w:t>
      </w:r>
      <w:r w:rsidR="00603B8E" w:rsidRPr="007C5BC0">
        <w:rPr>
          <w:rFonts w:ascii="Calibri" w:eastAsia="Calibri" w:hAnsi="Calibri" w:cs="Calibri"/>
          <w:color w:val="000000"/>
          <w:sz w:val="22"/>
          <w:szCs w:val="22"/>
        </w:rPr>
        <w:t xml:space="preserve"> se recoge el </w:t>
      </w:r>
      <w:r w:rsidR="002137C3">
        <w:rPr>
          <w:rFonts w:ascii="Calibri" w:eastAsia="Calibri" w:hAnsi="Calibri" w:cs="Calibri"/>
          <w:color w:val="000000"/>
          <w:sz w:val="22"/>
          <w:szCs w:val="22"/>
        </w:rPr>
        <w:t>Nivel de Deuda</w:t>
      </w:r>
      <w:r w:rsidR="00603B8E" w:rsidRPr="007C5BC0">
        <w:rPr>
          <w:rFonts w:ascii="Calibri" w:eastAsia="Calibri" w:hAnsi="Calibri" w:cs="Calibri"/>
          <w:color w:val="000000"/>
          <w:sz w:val="22"/>
          <w:szCs w:val="22"/>
        </w:rPr>
        <w:t xml:space="preserve"> de esta Corporación a 31 de diciembre de </w:t>
      </w:r>
      <w:r w:rsidR="00603B8E" w:rsidRPr="007C5BC0">
        <w:rPr>
          <w:rFonts w:ascii="Calibri" w:eastAsia="Calibri" w:hAnsi="Calibri" w:cs="Calibri"/>
          <w:color w:val="0000FF"/>
          <w:sz w:val="22"/>
          <w:szCs w:val="22"/>
        </w:rPr>
        <w:t>202</w:t>
      </w:r>
      <w:r w:rsidR="005C259F">
        <w:rPr>
          <w:rFonts w:ascii="Calibri" w:eastAsia="Calibri" w:hAnsi="Calibri" w:cs="Calibri"/>
          <w:color w:val="0000FF"/>
          <w:sz w:val="22"/>
          <w:szCs w:val="22"/>
        </w:rPr>
        <w:t>3</w:t>
      </w:r>
      <w:r w:rsidR="00603B8E" w:rsidRPr="007C5BC0">
        <w:rPr>
          <w:rFonts w:ascii="Calibri" w:eastAsia="Calibri" w:hAnsi="Calibri" w:cs="Calibri"/>
          <w:color w:val="000000"/>
          <w:sz w:val="22"/>
          <w:szCs w:val="22"/>
        </w:rPr>
        <w:t xml:space="preserve">, incluyendo el </w:t>
      </w:r>
      <w:r w:rsidR="002137C3">
        <w:rPr>
          <w:rFonts w:ascii="Calibri" w:eastAsia="Calibri" w:hAnsi="Calibri" w:cs="Calibri"/>
          <w:color w:val="000000"/>
          <w:sz w:val="22"/>
          <w:szCs w:val="22"/>
        </w:rPr>
        <w:t>Endeudamiento</w:t>
      </w:r>
      <w:r w:rsidR="00603B8E" w:rsidRPr="007C5BC0">
        <w:rPr>
          <w:rFonts w:ascii="Calibri" w:eastAsia="Calibri" w:hAnsi="Calibri" w:cs="Calibri"/>
          <w:color w:val="000000"/>
          <w:sz w:val="22"/>
          <w:szCs w:val="22"/>
        </w:rPr>
        <w:t xml:space="preserve"> a efectos del Protocolo del Procedimiento de Déficit Excesivo (Deuda viva PDE) y el </w:t>
      </w:r>
      <w:r w:rsidR="002137C3">
        <w:rPr>
          <w:rFonts w:ascii="Calibri" w:eastAsia="Calibri" w:hAnsi="Calibri" w:cs="Calibri"/>
          <w:color w:val="000000"/>
          <w:sz w:val="22"/>
          <w:szCs w:val="22"/>
        </w:rPr>
        <w:t>Endeudamiento</w:t>
      </w:r>
      <w:r w:rsidR="00603B8E" w:rsidRPr="007C5BC0">
        <w:rPr>
          <w:rFonts w:ascii="Calibri" w:eastAsia="Calibri" w:hAnsi="Calibri" w:cs="Calibri"/>
          <w:color w:val="000000"/>
          <w:sz w:val="22"/>
          <w:szCs w:val="22"/>
        </w:rPr>
        <w:t xml:space="preserve"> a efectos de la aplicación del régimen de autorización recogido en el artículo 53 TRLRHL y en la disposición final 31ª de la ley de Presupuestos Generales del Estado de 2013. </w:t>
      </w:r>
      <w:r w:rsidR="00642A8D" w:rsidRPr="007C5BC0">
        <w:rPr>
          <w:rFonts w:ascii="Calibri" w:eastAsia="Calibri" w:hAnsi="Calibri" w:cs="Calibri"/>
          <w:color w:val="000000"/>
          <w:sz w:val="22"/>
          <w:szCs w:val="22"/>
        </w:rPr>
        <w:t>Igualmente</w:t>
      </w:r>
      <w:r w:rsidR="00603B8E" w:rsidRPr="007C5BC0">
        <w:rPr>
          <w:rFonts w:ascii="Calibri" w:eastAsia="Calibri" w:hAnsi="Calibri" w:cs="Calibri"/>
          <w:color w:val="000000"/>
          <w:sz w:val="22"/>
          <w:szCs w:val="22"/>
        </w:rPr>
        <w:t xml:space="preserve"> se refleja el porcentaje de la deuda  </w:t>
      </w:r>
      <w:r w:rsidR="006236FF" w:rsidRPr="007C5BC0">
        <w:rPr>
          <w:rFonts w:ascii="Calibri" w:eastAsia="Calibri" w:hAnsi="Calibri" w:cs="Calibri"/>
          <w:color w:val="000000"/>
          <w:sz w:val="22"/>
          <w:szCs w:val="22"/>
        </w:rPr>
        <w:t>sobre los ingresos corrientes</w:t>
      </w:r>
      <w:r w:rsidR="00642A8D" w:rsidRPr="007C5BC0">
        <w:rPr>
          <w:rFonts w:ascii="Calibri" w:eastAsia="Calibri" w:hAnsi="Calibri" w:cs="Calibri"/>
          <w:color w:val="000000"/>
          <w:sz w:val="22"/>
          <w:szCs w:val="22"/>
        </w:rPr>
        <w:t xml:space="preserve"> liquidados,</w:t>
      </w:r>
      <w:r w:rsidR="006236FF" w:rsidRPr="007C5BC0">
        <w:rPr>
          <w:rFonts w:ascii="Calibri" w:eastAsia="Calibri" w:hAnsi="Calibri" w:cs="Calibri"/>
          <w:color w:val="000000"/>
          <w:sz w:val="22"/>
          <w:szCs w:val="22"/>
        </w:rPr>
        <w:t xml:space="preserve"> minorando los ingresos afectados y los que tengan carácter extraordinario</w:t>
      </w:r>
      <w:r w:rsidR="00603B8E" w:rsidRPr="007C5BC0">
        <w:rPr>
          <w:rFonts w:ascii="Calibri" w:eastAsia="Calibri" w:hAnsi="Calibri" w:cs="Calibri"/>
          <w:color w:val="000000"/>
          <w:sz w:val="22"/>
          <w:szCs w:val="22"/>
        </w:rPr>
        <w:t>.</w:t>
      </w:r>
    </w:p>
    <w:p w:rsidR="00062632" w:rsidRPr="00775EC0" w:rsidRDefault="00062632" w:rsidP="00062632">
      <w:pPr>
        <w:spacing w:after="120"/>
        <w:jc w:val="both"/>
        <w:rPr>
          <w:rFonts w:ascii="Calibri" w:hAnsi="Calibri" w:cs="Calibri"/>
          <w:sz w:val="22"/>
          <w:szCs w:val="22"/>
        </w:rPr>
      </w:pPr>
      <w:r>
        <w:rPr>
          <w:rFonts w:cs="Calibri"/>
        </w:rPr>
        <w:tab/>
      </w:r>
    </w:p>
    <w:p w:rsidR="00062632" w:rsidRDefault="00062632" w:rsidP="005C259F">
      <w:pPr>
        <w:autoSpaceDE w:val="0"/>
        <w:autoSpaceDN w:val="0"/>
        <w:adjustRightInd w:val="0"/>
        <w:jc w:val="center"/>
        <w:rPr>
          <w:rFonts w:ascii="Calibri" w:hAnsi="Calibri" w:cs="Calibri"/>
          <w:b/>
          <w:sz w:val="20"/>
          <w:szCs w:val="20"/>
        </w:rPr>
      </w:pPr>
      <w:r w:rsidRPr="00775EC0">
        <w:rPr>
          <w:rFonts w:ascii="Calibri" w:hAnsi="Calibri" w:cs="Calibri"/>
          <w:b/>
          <w:sz w:val="20"/>
          <w:szCs w:val="20"/>
        </w:rPr>
        <w:t>(</w:t>
      </w:r>
      <w:r w:rsidRPr="00775EC0">
        <w:rPr>
          <w:rFonts w:ascii="Calibri" w:hAnsi="Calibri" w:cs="Calibri"/>
          <w:b/>
          <w:sz w:val="20"/>
          <w:szCs w:val="20"/>
          <w:highlight w:val="lightGray"/>
        </w:rPr>
        <w:t xml:space="preserve">Utilizar la hoja Excel NIVEL </w:t>
      </w:r>
      <w:proofErr w:type="gramStart"/>
      <w:r w:rsidRPr="00775EC0">
        <w:rPr>
          <w:rFonts w:ascii="Calibri" w:hAnsi="Calibri" w:cs="Calibri"/>
          <w:b/>
          <w:sz w:val="20"/>
          <w:szCs w:val="20"/>
          <w:highlight w:val="lightGray"/>
        </w:rPr>
        <w:t>DEUDA  y</w:t>
      </w:r>
      <w:proofErr w:type="gramEnd"/>
      <w:r w:rsidRPr="00775EC0">
        <w:rPr>
          <w:rFonts w:ascii="Calibri" w:hAnsi="Calibri" w:cs="Calibri"/>
          <w:b/>
          <w:sz w:val="20"/>
          <w:szCs w:val="20"/>
          <w:highlight w:val="lightGray"/>
        </w:rPr>
        <w:t xml:space="preserve"> copiar la tabla</w:t>
      </w:r>
      <w:r w:rsidR="00866D67">
        <w:rPr>
          <w:rFonts w:ascii="Calibri" w:hAnsi="Calibri" w:cs="Calibri"/>
          <w:b/>
          <w:sz w:val="20"/>
          <w:szCs w:val="20"/>
          <w:highlight w:val="lightGray"/>
        </w:rPr>
        <w:t xml:space="preserve"> </w:t>
      </w:r>
      <w:r w:rsidR="00866D67" w:rsidRPr="005921F5">
        <w:rPr>
          <w:rFonts w:ascii="Calibri" w:hAnsi="Calibri" w:cs="Calibri"/>
          <w:b/>
          <w:sz w:val="20"/>
          <w:szCs w:val="20"/>
          <w:highlight w:val="lightGray"/>
        </w:rPr>
        <w:t>RESUMEN</w:t>
      </w:r>
      <w:r w:rsidRPr="005921F5">
        <w:rPr>
          <w:rFonts w:ascii="Calibri" w:hAnsi="Calibri" w:cs="Calibri"/>
          <w:b/>
          <w:sz w:val="20"/>
          <w:szCs w:val="20"/>
          <w:highlight w:val="lightGray"/>
        </w:rPr>
        <w:t xml:space="preserve"> </w:t>
      </w:r>
      <w:r w:rsidR="002137C3">
        <w:rPr>
          <w:rFonts w:ascii="Calibri" w:hAnsi="Calibri" w:cs="Calibri"/>
          <w:b/>
          <w:sz w:val="20"/>
          <w:szCs w:val="20"/>
          <w:highlight w:val="lightGray"/>
        </w:rPr>
        <w:t>NIVEL DE DEUDA</w:t>
      </w:r>
      <w:r w:rsidRPr="005921F5">
        <w:rPr>
          <w:rFonts w:ascii="Calibri" w:hAnsi="Calibri" w:cs="Calibri"/>
          <w:b/>
          <w:sz w:val="20"/>
          <w:szCs w:val="20"/>
          <w:highlight w:val="lightGray"/>
        </w:rPr>
        <w:t>)</w:t>
      </w:r>
    </w:p>
    <w:p w:rsidR="009F0BA0" w:rsidRDefault="009F0BA0" w:rsidP="00062632">
      <w:pPr>
        <w:autoSpaceDE w:val="0"/>
        <w:autoSpaceDN w:val="0"/>
        <w:adjustRightInd w:val="0"/>
        <w:jc w:val="both"/>
        <w:rPr>
          <w:rFonts w:ascii="Calibri" w:hAnsi="Calibri" w:cs="Calibri"/>
          <w:b/>
          <w:sz w:val="20"/>
          <w:szCs w:val="20"/>
        </w:rPr>
      </w:pPr>
    </w:p>
    <w:tbl>
      <w:tblPr>
        <w:tblW w:w="9760" w:type="dxa"/>
        <w:tblCellMar>
          <w:left w:w="70" w:type="dxa"/>
          <w:right w:w="70" w:type="dxa"/>
        </w:tblCellMar>
        <w:tblLook w:val="04A0" w:firstRow="1" w:lastRow="0" w:firstColumn="1" w:lastColumn="0" w:noHBand="0" w:noVBand="1"/>
      </w:tblPr>
      <w:tblGrid>
        <w:gridCol w:w="7000"/>
        <w:gridCol w:w="2760"/>
      </w:tblGrid>
      <w:tr w:rsidR="005921F5" w:rsidRPr="005921F5" w:rsidTr="005921F5">
        <w:trPr>
          <w:trHeight w:val="360"/>
        </w:trPr>
        <w:tc>
          <w:tcPr>
            <w:tcW w:w="7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921F5" w:rsidRPr="005921F5" w:rsidRDefault="005921F5" w:rsidP="005921F5">
            <w:pPr>
              <w:rPr>
                <w:rFonts w:ascii="Calibri" w:hAnsi="Calibri" w:cs="Calibri"/>
                <w:b/>
                <w:bCs/>
                <w:sz w:val="20"/>
                <w:szCs w:val="20"/>
              </w:rPr>
            </w:pPr>
            <w:r w:rsidRPr="005921F5">
              <w:rPr>
                <w:rFonts w:ascii="Calibri" w:hAnsi="Calibri" w:cs="Calibri"/>
                <w:b/>
                <w:bCs/>
                <w:sz w:val="20"/>
                <w:szCs w:val="20"/>
              </w:rPr>
              <w:t>TOTAL DEUDA  A EFECTOS DEL PROTOCOLO DE DEFICIT EXCESIVO .DEUDA PDE (1)</w:t>
            </w:r>
          </w:p>
        </w:tc>
        <w:tc>
          <w:tcPr>
            <w:tcW w:w="2760" w:type="dxa"/>
            <w:tcBorders>
              <w:top w:val="single" w:sz="8" w:space="0" w:color="auto"/>
              <w:left w:val="nil"/>
              <w:bottom w:val="single" w:sz="8" w:space="0" w:color="auto"/>
              <w:right w:val="single" w:sz="8" w:space="0" w:color="auto"/>
            </w:tcBorders>
            <w:shd w:val="clear" w:color="auto" w:fill="auto"/>
            <w:noWrap/>
            <w:vAlign w:val="bottom"/>
            <w:hideMark/>
          </w:tcPr>
          <w:p w:rsidR="005921F5" w:rsidRPr="005921F5" w:rsidRDefault="005921F5" w:rsidP="005921F5">
            <w:pPr>
              <w:jc w:val="right"/>
              <w:rPr>
                <w:rFonts w:ascii="Calibri" w:hAnsi="Calibri" w:cs="Calibri"/>
                <w:sz w:val="20"/>
                <w:szCs w:val="20"/>
              </w:rPr>
            </w:pPr>
            <w:r w:rsidRPr="005921F5">
              <w:rPr>
                <w:rFonts w:ascii="Calibri" w:hAnsi="Calibri" w:cs="Calibri"/>
                <w:sz w:val="20"/>
                <w:szCs w:val="20"/>
              </w:rPr>
              <w:t>0,00</w:t>
            </w:r>
          </w:p>
        </w:tc>
      </w:tr>
      <w:tr w:rsidR="005921F5" w:rsidRPr="005921F5" w:rsidTr="005921F5">
        <w:trPr>
          <w:trHeight w:val="360"/>
        </w:trPr>
        <w:tc>
          <w:tcPr>
            <w:tcW w:w="7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921F5" w:rsidRPr="005921F5" w:rsidRDefault="005921F5" w:rsidP="005921F5">
            <w:pPr>
              <w:rPr>
                <w:rFonts w:ascii="Calibri" w:hAnsi="Calibri" w:cs="Calibri"/>
                <w:b/>
                <w:bCs/>
                <w:sz w:val="20"/>
                <w:szCs w:val="20"/>
              </w:rPr>
            </w:pPr>
            <w:r w:rsidRPr="005921F5">
              <w:rPr>
                <w:rFonts w:ascii="Calibri" w:hAnsi="Calibri" w:cs="Calibri"/>
                <w:b/>
                <w:bCs/>
                <w:sz w:val="20"/>
                <w:szCs w:val="20"/>
              </w:rPr>
              <w:t>RIESGO DEDUCIDO DE AVALES  (2)</w:t>
            </w:r>
          </w:p>
        </w:tc>
        <w:tc>
          <w:tcPr>
            <w:tcW w:w="2760" w:type="dxa"/>
            <w:tcBorders>
              <w:top w:val="nil"/>
              <w:left w:val="nil"/>
              <w:bottom w:val="single" w:sz="8" w:space="0" w:color="auto"/>
              <w:right w:val="single" w:sz="8" w:space="0" w:color="auto"/>
            </w:tcBorders>
            <w:shd w:val="clear" w:color="auto" w:fill="auto"/>
            <w:noWrap/>
            <w:vAlign w:val="bottom"/>
            <w:hideMark/>
          </w:tcPr>
          <w:p w:rsidR="005921F5" w:rsidRPr="005921F5" w:rsidRDefault="005921F5" w:rsidP="005921F5">
            <w:pPr>
              <w:jc w:val="right"/>
              <w:rPr>
                <w:rFonts w:ascii="Calibri" w:hAnsi="Calibri" w:cs="Calibri"/>
                <w:sz w:val="20"/>
                <w:szCs w:val="20"/>
              </w:rPr>
            </w:pPr>
            <w:r w:rsidRPr="005921F5">
              <w:rPr>
                <w:rFonts w:ascii="Calibri" w:hAnsi="Calibri" w:cs="Calibri"/>
                <w:sz w:val="20"/>
                <w:szCs w:val="20"/>
              </w:rPr>
              <w:t>0,00</w:t>
            </w:r>
          </w:p>
        </w:tc>
      </w:tr>
      <w:tr w:rsidR="005921F5" w:rsidRPr="005921F5" w:rsidTr="005921F5">
        <w:trPr>
          <w:trHeight w:val="615"/>
        </w:trPr>
        <w:tc>
          <w:tcPr>
            <w:tcW w:w="7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921F5" w:rsidRPr="005921F5" w:rsidRDefault="005921F5" w:rsidP="005921F5">
            <w:pPr>
              <w:rPr>
                <w:rFonts w:ascii="Calibri" w:hAnsi="Calibri" w:cs="Calibri"/>
                <w:b/>
                <w:bCs/>
                <w:sz w:val="20"/>
                <w:szCs w:val="20"/>
              </w:rPr>
            </w:pPr>
            <w:r w:rsidRPr="005921F5">
              <w:rPr>
                <w:rFonts w:ascii="Calibri" w:hAnsi="Calibri" w:cs="Calibri"/>
                <w:b/>
                <w:bCs/>
                <w:sz w:val="20"/>
                <w:szCs w:val="20"/>
              </w:rPr>
              <w:t>OPERACIONES DE CRÉDITO FORMALIZADAS Y NO DISPUESTAS (3)</w:t>
            </w:r>
          </w:p>
        </w:tc>
        <w:tc>
          <w:tcPr>
            <w:tcW w:w="2760" w:type="dxa"/>
            <w:tcBorders>
              <w:top w:val="nil"/>
              <w:left w:val="nil"/>
              <w:bottom w:val="single" w:sz="8" w:space="0" w:color="auto"/>
              <w:right w:val="single" w:sz="8" w:space="0" w:color="auto"/>
            </w:tcBorders>
            <w:shd w:val="clear" w:color="auto" w:fill="auto"/>
            <w:noWrap/>
            <w:vAlign w:val="bottom"/>
            <w:hideMark/>
          </w:tcPr>
          <w:p w:rsidR="005921F5" w:rsidRPr="005921F5" w:rsidRDefault="005921F5" w:rsidP="005921F5">
            <w:pPr>
              <w:jc w:val="right"/>
              <w:rPr>
                <w:rFonts w:ascii="Calibri" w:hAnsi="Calibri" w:cs="Calibri"/>
                <w:sz w:val="20"/>
                <w:szCs w:val="20"/>
              </w:rPr>
            </w:pPr>
            <w:r w:rsidRPr="005921F5">
              <w:rPr>
                <w:rFonts w:ascii="Calibri" w:hAnsi="Calibri" w:cs="Calibri"/>
                <w:sz w:val="20"/>
                <w:szCs w:val="20"/>
              </w:rPr>
              <w:t>0,00</w:t>
            </w:r>
          </w:p>
        </w:tc>
      </w:tr>
      <w:tr w:rsidR="005921F5" w:rsidRPr="005921F5" w:rsidTr="005921F5">
        <w:trPr>
          <w:trHeight w:val="360"/>
        </w:trPr>
        <w:tc>
          <w:tcPr>
            <w:tcW w:w="7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921F5" w:rsidRPr="005921F5" w:rsidRDefault="005921F5" w:rsidP="005921F5">
            <w:pPr>
              <w:rPr>
                <w:rFonts w:ascii="Calibri" w:hAnsi="Calibri" w:cs="Calibri"/>
                <w:b/>
                <w:bCs/>
                <w:sz w:val="20"/>
                <w:szCs w:val="20"/>
              </w:rPr>
            </w:pPr>
            <w:r w:rsidRPr="005921F5">
              <w:rPr>
                <w:rFonts w:ascii="Calibri" w:hAnsi="Calibri" w:cs="Calibri"/>
                <w:b/>
                <w:bCs/>
                <w:sz w:val="20"/>
                <w:szCs w:val="20"/>
              </w:rPr>
              <w:t xml:space="preserve"> OPERACIONES DE CRÉDITO CON ADMINISTRACIONES PUBLICAS (4)</w:t>
            </w:r>
          </w:p>
        </w:tc>
        <w:tc>
          <w:tcPr>
            <w:tcW w:w="2760" w:type="dxa"/>
            <w:tcBorders>
              <w:top w:val="nil"/>
              <w:left w:val="nil"/>
              <w:bottom w:val="single" w:sz="8" w:space="0" w:color="auto"/>
              <w:right w:val="single" w:sz="8" w:space="0" w:color="auto"/>
            </w:tcBorders>
            <w:shd w:val="clear" w:color="auto" w:fill="auto"/>
            <w:noWrap/>
            <w:vAlign w:val="bottom"/>
            <w:hideMark/>
          </w:tcPr>
          <w:p w:rsidR="005921F5" w:rsidRPr="005921F5" w:rsidRDefault="005921F5" w:rsidP="005921F5">
            <w:pPr>
              <w:jc w:val="right"/>
              <w:rPr>
                <w:rFonts w:ascii="Calibri" w:hAnsi="Calibri" w:cs="Calibri"/>
                <w:sz w:val="20"/>
                <w:szCs w:val="20"/>
              </w:rPr>
            </w:pPr>
            <w:r w:rsidRPr="005921F5">
              <w:rPr>
                <w:rFonts w:ascii="Calibri" w:hAnsi="Calibri" w:cs="Calibri"/>
                <w:sz w:val="20"/>
                <w:szCs w:val="20"/>
              </w:rPr>
              <w:t>0,00</w:t>
            </w:r>
          </w:p>
        </w:tc>
      </w:tr>
      <w:tr w:rsidR="005921F5" w:rsidRPr="005921F5" w:rsidTr="005921F5">
        <w:trPr>
          <w:trHeight w:val="360"/>
        </w:trPr>
        <w:tc>
          <w:tcPr>
            <w:tcW w:w="7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921F5" w:rsidRPr="005921F5" w:rsidRDefault="005921F5" w:rsidP="005921F5">
            <w:pPr>
              <w:rPr>
                <w:rFonts w:ascii="Calibri" w:hAnsi="Calibri" w:cs="Calibri"/>
                <w:b/>
                <w:bCs/>
                <w:sz w:val="20"/>
                <w:szCs w:val="20"/>
              </w:rPr>
            </w:pPr>
            <w:r w:rsidRPr="005921F5">
              <w:rPr>
                <w:rFonts w:ascii="Calibri" w:hAnsi="Calibri" w:cs="Calibri"/>
                <w:b/>
                <w:bCs/>
                <w:sz w:val="20"/>
                <w:szCs w:val="20"/>
              </w:rPr>
              <w:t>Otras deudas (5)</w:t>
            </w:r>
          </w:p>
        </w:tc>
        <w:tc>
          <w:tcPr>
            <w:tcW w:w="2760" w:type="dxa"/>
            <w:tcBorders>
              <w:top w:val="nil"/>
              <w:left w:val="nil"/>
              <w:bottom w:val="single" w:sz="8" w:space="0" w:color="auto"/>
              <w:right w:val="single" w:sz="8" w:space="0" w:color="auto"/>
            </w:tcBorders>
            <w:shd w:val="clear" w:color="000000" w:fill="FFFFFF"/>
            <w:noWrap/>
            <w:vAlign w:val="bottom"/>
            <w:hideMark/>
          </w:tcPr>
          <w:p w:rsidR="005921F5" w:rsidRPr="005921F5" w:rsidRDefault="005921F5" w:rsidP="005921F5">
            <w:pPr>
              <w:jc w:val="right"/>
              <w:rPr>
                <w:rFonts w:ascii="Calibri" w:hAnsi="Calibri" w:cs="Calibri"/>
                <w:sz w:val="20"/>
                <w:szCs w:val="20"/>
              </w:rPr>
            </w:pPr>
            <w:r w:rsidRPr="005921F5">
              <w:rPr>
                <w:rFonts w:ascii="Calibri" w:hAnsi="Calibri" w:cs="Calibri"/>
                <w:sz w:val="20"/>
                <w:szCs w:val="20"/>
              </w:rPr>
              <w:t>0,00</w:t>
            </w:r>
          </w:p>
        </w:tc>
      </w:tr>
      <w:tr w:rsidR="005921F5" w:rsidRPr="005921F5" w:rsidTr="005921F5">
        <w:trPr>
          <w:trHeight w:val="360"/>
        </w:trPr>
        <w:tc>
          <w:tcPr>
            <w:tcW w:w="7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921F5" w:rsidRPr="005921F5" w:rsidRDefault="005921F5" w:rsidP="005921F5">
            <w:pPr>
              <w:rPr>
                <w:rFonts w:ascii="Calibri" w:hAnsi="Calibri" w:cs="Calibri"/>
                <w:b/>
                <w:bCs/>
                <w:color w:val="0000FF"/>
                <w:sz w:val="20"/>
                <w:szCs w:val="20"/>
              </w:rPr>
            </w:pPr>
            <w:r w:rsidRPr="005921F5">
              <w:rPr>
                <w:rFonts w:ascii="Calibri" w:hAnsi="Calibri" w:cs="Calibri"/>
                <w:b/>
                <w:bCs/>
                <w:color w:val="0000FF"/>
                <w:sz w:val="20"/>
                <w:szCs w:val="20"/>
              </w:rPr>
              <w:t>A) CAPITAL VIVO A EFECTOS DEL ART.53 TRLRHL Y LA DF 31 LPGE 2013 (1+2+3+4+5)</w:t>
            </w:r>
          </w:p>
        </w:tc>
        <w:tc>
          <w:tcPr>
            <w:tcW w:w="2760" w:type="dxa"/>
            <w:tcBorders>
              <w:top w:val="nil"/>
              <w:left w:val="nil"/>
              <w:bottom w:val="single" w:sz="8" w:space="0" w:color="auto"/>
              <w:right w:val="single" w:sz="8" w:space="0" w:color="auto"/>
            </w:tcBorders>
            <w:shd w:val="clear" w:color="000000" w:fill="FFFFFF"/>
            <w:noWrap/>
            <w:vAlign w:val="bottom"/>
            <w:hideMark/>
          </w:tcPr>
          <w:p w:rsidR="005921F5" w:rsidRPr="005921F5" w:rsidRDefault="005921F5" w:rsidP="005921F5">
            <w:pPr>
              <w:jc w:val="right"/>
              <w:rPr>
                <w:rFonts w:ascii="Calibri" w:hAnsi="Calibri" w:cs="Calibri"/>
                <w:sz w:val="20"/>
                <w:szCs w:val="20"/>
              </w:rPr>
            </w:pPr>
            <w:r w:rsidRPr="005921F5">
              <w:rPr>
                <w:rFonts w:ascii="Calibri" w:hAnsi="Calibri" w:cs="Calibri"/>
                <w:sz w:val="20"/>
                <w:szCs w:val="20"/>
              </w:rPr>
              <w:t>0,00</w:t>
            </w:r>
          </w:p>
        </w:tc>
      </w:tr>
      <w:tr w:rsidR="005921F5" w:rsidRPr="005921F5" w:rsidTr="005921F5">
        <w:trPr>
          <w:trHeight w:val="360"/>
        </w:trPr>
        <w:tc>
          <w:tcPr>
            <w:tcW w:w="7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921F5" w:rsidRPr="005921F5" w:rsidRDefault="005921F5" w:rsidP="005921F5">
            <w:pPr>
              <w:rPr>
                <w:rFonts w:ascii="Calibri" w:hAnsi="Calibri" w:cs="Calibri"/>
                <w:b/>
                <w:bCs/>
                <w:color w:val="0000FF"/>
                <w:sz w:val="20"/>
                <w:szCs w:val="20"/>
              </w:rPr>
            </w:pPr>
            <w:r w:rsidRPr="005921F5">
              <w:rPr>
                <w:rFonts w:ascii="Calibri" w:hAnsi="Calibri" w:cs="Calibri"/>
                <w:b/>
                <w:bCs/>
                <w:color w:val="0000FF"/>
                <w:sz w:val="20"/>
                <w:szCs w:val="20"/>
              </w:rPr>
              <w:t xml:space="preserve">B) TOTAL INGRESOS CORRIENTE LIQUIDADOS AJUSTADOS </w:t>
            </w:r>
          </w:p>
        </w:tc>
        <w:tc>
          <w:tcPr>
            <w:tcW w:w="2760" w:type="dxa"/>
            <w:tcBorders>
              <w:top w:val="nil"/>
              <w:left w:val="nil"/>
              <w:bottom w:val="single" w:sz="8" w:space="0" w:color="auto"/>
              <w:right w:val="single" w:sz="8" w:space="0" w:color="auto"/>
            </w:tcBorders>
            <w:shd w:val="clear" w:color="000000" w:fill="FFFFFF"/>
            <w:noWrap/>
            <w:vAlign w:val="bottom"/>
            <w:hideMark/>
          </w:tcPr>
          <w:p w:rsidR="005921F5" w:rsidRPr="005921F5" w:rsidRDefault="005921F5" w:rsidP="005921F5">
            <w:pPr>
              <w:jc w:val="right"/>
              <w:rPr>
                <w:rFonts w:ascii="Calibri" w:hAnsi="Calibri" w:cs="Calibri"/>
                <w:sz w:val="20"/>
                <w:szCs w:val="20"/>
              </w:rPr>
            </w:pPr>
            <w:r w:rsidRPr="005921F5">
              <w:rPr>
                <w:rFonts w:ascii="Calibri" w:hAnsi="Calibri" w:cs="Calibri"/>
                <w:sz w:val="20"/>
                <w:szCs w:val="20"/>
              </w:rPr>
              <w:t>0,00</w:t>
            </w:r>
          </w:p>
        </w:tc>
      </w:tr>
      <w:tr w:rsidR="005921F5" w:rsidRPr="005921F5" w:rsidTr="005921F5">
        <w:trPr>
          <w:trHeight w:val="360"/>
        </w:trPr>
        <w:tc>
          <w:tcPr>
            <w:tcW w:w="700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921F5" w:rsidRPr="005921F5" w:rsidRDefault="005921F5" w:rsidP="005921F5">
            <w:pPr>
              <w:jc w:val="center"/>
              <w:rPr>
                <w:rFonts w:ascii="Calibri" w:hAnsi="Calibri" w:cs="Calibri"/>
                <w:b/>
                <w:bCs/>
                <w:color w:val="0000FF"/>
                <w:sz w:val="20"/>
                <w:szCs w:val="20"/>
              </w:rPr>
            </w:pPr>
            <w:r w:rsidRPr="005921F5">
              <w:rPr>
                <w:rFonts w:ascii="Calibri" w:hAnsi="Calibri" w:cs="Calibri"/>
                <w:b/>
                <w:bCs/>
                <w:color w:val="0000FF"/>
                <w:sz w:val="20"/>
                <w:szCs w:val="20"/>
              </w:rPr>
              <w:t>C) PORCENTAJE DEUDA/INGRESOS CORRIENTES</w:t>
            </w:r>
          </w:p>
        </w:tc>
        <w:tc>
          <w:tcPr>
            <w:tcW w:w="2760" w:type="dxa"/>
            <w:tcBorders>
              <w:top w:val="nil"/>
              <w:left w:val="nil"/>
              <w:bottom w:val="single" w:sz="8" w:space="0" w:color="auto"/>
              <w:right w:val="single" w:sz="8" w:space="0" w:color="auto"/>
            </w:tcBorders>
            <w:shd w:val="clear" w:color="000000" w:fill="FFFFFF"/>
            <w:noWrap/>
            <w:vAlign w:val="bottom"/>
            <w:hideMark/>
          </w:tcPr>
          <w:p w:rsidR="005921F5" w:rsidRPr="005921F5" w:rsidRDefault="005921F5" w:rsidP="005921F5">
            <w:pPr>
              <w:jc w:val="right"/>
              <w:rPr>
                <w:rFonts w:ascii="Calibri" w:hAnsi="Calibri" w:cs="Calibri"/>
                <w:sz w:val="20"/>
                <w:szCs w:val="20"/>
              </w:rPr>
            </w:pPr>
            <w:r w:rsidRPr="005921F5">
              <w:rPr>
                <w:rFonts w:ascii="Calibri" w:hAnsi="Calibri" w:cs="Calibri"/>
                <w:sz w:val="20"/>
                <w:szCs w:val="20"/>
              </w:rPr>
              <w:t>#¡DIV/0!</w:t>
            </w:r>
          </w:p>
        </w:tc>
      </w:tr>
    </w:tbl>
    <w:p w:rsidR="009F0BA0" w:rsidRDefault="009F0BA0" w:rsidP="00260E8E">
      <w:pPr>
        <w:shd w:val="clear" w:color="auto" w:fill="FFFFFF" w:themeFill="background1"/>
        <w:autoSpaceDE w:val="0"/>
        <w:autoSpaceDN w:val="0"/>
        <w:adjustRightInd w:val="0"/>
        <w:jc w:val="both"/>
        <w:rPr>
          <w:rFonts w:ascii="Calibri" w:hAnsi="Calibri" w:cs="Calibri"/>
          <w:b/>
          <w:sz w:val="20"/>
          <w:szCs w:val="20"/>
        </w:rPr>
      </w:pPr>
    </w:p>
    <w:p w:rsidR="00642A8D" w:rsidRDefault="00642A8D" w:rsidP="005C259F">
      <w:pPr>
        <w:autoSpaceDE w:val="0"/>
        <w:autoSpaceDN w:val="0"/>
        <w:adjustRightInd w:val="0"/>
        <w:jc w:val="center"/>
        <w:rPr>
          <w:rFonts w:ascii="Calibri" w:hAnsi="Calibri" w:cs="Calibri"/>
          <w:b/>
          <w:sz w:val="20"/>
          <w:szCs w:val="20"/>
        </w:rPr>
      </w:pPr>
    </w:p>
    <w:p w:rsidR="00642A8D" w:rsidRDefault="00642A8D" w:rsidP="005C259F">
      <w:pPr>
        <w:tabs>
          <w:tab w:val="left" w:pos="1020"/>
        </w:tabs>
        <w:ind w:right="-1"/>
        <w:jc w:val="center"/>
        <w:rPr>
          <w:rFonts w:ascii="Calibri" w:hAnsi="Calibri" w:cs="Calibri"/>
          <w:sz w:val="22"/>
          <w:szCs w:val="22"/>
        </w:rPr>
      </w:pPr>
      <w:r w:rsidRPr="00C35C00">
        <w:rPr>
          <w:rFonts w:ascii="Calibri" w:hAnsi="Calibri" w:cs="Calibri"/>
          <w:sz w:val="22"/>
          <w:szCs w:val="22"/>
        </w:rPr>
        <w:t>En _______________a____ de_____________20__</w:t>
      </w:r>
    </w:p>
    <w:p w:rsidR="00642A8D" w:rsidRPr="00C35C00" w:rsidRDefault="00642A8D" w:rsidP="005C259F">
      <w:pPr>
        <w:tabs>
          <w:tab w:val="left" w:pos="1020"/>
        </w:tabs>
        <w:ind w:right="-1"/>
        <w:jc w:val="center"/>
        <w:rPr>
          <w:rFonts w:ascii="Calibri" w:hAnsi="Calibri" w:cs="Calibri"/>
          <w:sz w:val="22"/>
          <w:szCs w:val="22"/>
        </w:rPr>
      </w:pPr>
    </w:p>
    <w:p w:rsidR="00642A8D" w:rsidRDefault="00642A8D" w:rsidP="005C259F">
      <w:pPr>
        <w:tabs>
          <w:tab w:val="left" w:pos="1020"/>
        </w:tabs>
        <w:ind w:right="-1"/>
        <w:jc w:val="center"/>
        <w:rPr>
          <w:rFonts w:ascii="Calibri" w:hAnsi="Calibri" w:cs="Calibri"/>
          <w:sz w:val="22"/>
          <w:szCs w:val="22"/>
        </w:rPr>
      </w:pPr>
      <w:r w:rsidRPr="00C35C00">
        <w:rPr>
          <w:rFonts w:ascii="Calibri" w:hAnsi="Calibri" w:cs="Calibri"/>
          <w:sz w:val="22"/>
          <w:szCs w:val="22"/>
        </w:rPr>
        <w:t>EL</w:t>
      </w:r>
      <w:r w:rsidR="005C259F">
        <w:rPr>
          <w:rFonts w:ascii="Calibri" w:hAnsi="Calibri" w:cs="Calibri"/>
          <w:sz w:val="22"/>
          <w:szCs w:val="22"/>
        </w:rPr>
        <w:t xml:space="preserve">/LA SECRETARIO/A-NTERVENTOR/A o EL/LA </w:t>
      </w:r>
      <w:r w:rsidRPr="00C35C00">
        <w:rPr>
          <w:rFonts w:ascii="Calibri" w:hAnsi="Calibri" w:cs="Calibri"/>
          <w:sz w:val="22"/>
          <w:szCs w:val="22"/>
        </w:rPr>
        <w:t>INTERVENTOR/</w:t>
      </w:r>
      <w:r w:rsidR="005C259F">
        <w:rPr>
          <w:rFonts w:ascii="Calibri" w:hAnsi="Calibri" w:cs="Calibri"/>
          <w:sz w:val="22"/>
          <w:szCs w:val="22"/>
        </w:rPr>
        <w:t>A</w:t>
      </w:r>
    </w:p>
    <w:p w:rsidR="005C259F" w:rsidRDefault="005C259F" w:rsidP="005C259F">
      <w:pPr>
        <w:tabs>
          <w:tab w:val="left" w:pos="1020"/>
        </w:tabs>
        <w:ind w:right="-1"/>
        <w:jc w:val="center"/>
        <w:rPr>
          <w:rFonts w:ascii="Calibri" w:hAnsi="Calibri" w:cs="Calibri"/>
          <w:sz w:val="22"/>
          <w:szCs w:val="22"/>
        </w:rPr>
      </w:pPr>
    </w:p>
    <w:p w:rsidR="003511D5" w:rsidRDefault="003511D5" w:rsidP="005C259F">
      <w:pPr>
        <w:tabs>
          <w:tab w:val="left" w:pos="1020"/>
        </w:tabs>
        <w:ind w:right="-1"/>
        <w:jc w:val="center"/>
        <w:rPr>
          <w:rFonts w:ascii="Calibri" w:hAnsi="Calibri" w:cs="Calibri"/>
          <w:sz w:val="22"/>
          <w:szCs w:val="22"/>
        </w:rPr>
      </w:pPr>
    </w:p>
    <w:p w:rsidR="003511D5" w:rsidRDefault="003511D5" w:rsidP="005C259F">
      <w:pPr>
        <w:tabs>
          <w:tab w:val="left" w:pos="1020"/>
        </w:tabs>
        <w:ind w:right="-1"/>
        <w:jc w:val="center"/>
        <w:rPr>
          <w:rFonts w:ascii="Calibri" w:hAnsi="Calibri" w:cs="Calibri"/>
          <w:sz w:val="22"/>
          <w:szCs w:val="22"/>
        </w:rPr>
      </w:pPr>
    </w:p>
    <w:p w:rsidR="005C259F" w:rsidRDefault="005C259F" w:rsidP="005C259F">
      <w:pPr>
        <w:tabs>
          <w:tab w:val="left" w:pos="1020"/>
        </w:tabs>
        <w:ind w:right="-1"/>
        <w:jc w:val="center"/>
        <w:rPr>
          <w:rFonts w:ascii="Calibri" w:hAnsi="Calibri" w:cs="Calibri"/>
          <w:sz w:val="22"/>
          <w:szCs w:val="22"/>
        </w:rPr>
      </w:pPr>
      <w:r>
        <w:rPr>
          <w:rFonts w:ascii="Calibri" w:hAnsi="Calibri" w:cs="Calibri"/>
          <w:sz w:val="22"/>
          <w:szCs w:val="22"/>
        </w:rPr>
        <w:t>Fdo.: ________________________________</w:t>
      </w:r>
    </w:p>
    <w:p w:rsidR="00642A8D" w:rsidRDefault="00642A8D" w:rsidP="00062632">
      <w:pPr>
        <w:ind w:right="-1"/>
        <w:jc w:val="both"/>
        <w:rPr>
          <w:rFonts w:ascii="Calibri" w:hAnsi="Calibri" w:cs="Calibri"/>
          <w:sz w:val="22"/>
          <w:szCs w:val="22"/>
        </w:rPr>
      </w:pPr>
    </w:p>
    <w:p w:rsidR="00642A8D" w:rsidRDefault="00642A8D" w:rsidP="00062632">
      <w:pPr>
        <w:ind w:right="-1"/>
        <w:jc w:val="both"/>
        <w:rPr>
          <w:rFonts w:ascii="Calibri" w:hAnsi="Calibri" w:cs="Calibri"/>
          <w:sz w:val="22"/>
          <w:szCs w:val="22"/>
        </w:rPr>
      </w:pPr>
    </w:p>
    <w:p w:rsidR="003511D5" w:rsidRDefault="003511D5" w:rsidP="00062632">
      <w:pPr>
        <w:ind w:right="-1"/>
        <w:jc w:val="both"/>
        <w:rPr>
          <w:rFonts w:ascii="Calibri" w:hAnsi="Calibri" w:cs="Calibri"/>
          <w:sz w:val="22"/>
          <w:szCs w:val="22"/>
        </w:rPr>
      </w:pPr>
    </w:p>
    <w:p w:rsidR="003511D5" w:rsidRDefault="003511D5" w:rsidP="00062632">
      <w:pPr>
        <w:ind w:right="-1"/>
        <w:jc w:val="both"/>
        <w:rPr>
          <w:rFonts w:ascii="Calibri" w:hAnsi="Calibri" w:cs="Calibri"/>
          <w:sz w:val="22"/>
          <w:szCs w:val="22"/>
        </w:rPr>
      </w:pPr>
    </w:p>
    <w:p w:rsidR="003511D5" w:rsidRDefault="003511D5" w:rsidP="00062632">
      <w:pPr>
        <w:ind w:right="-1"/>
        <w:jc w:val="both"/>
        <w:rPr>
          <w:rFonts w:ascii="Calibri" w:hAnsi="Calibri" w:cs="Calibri"/>
          <w:sz w:val="22"/>
          <w:szCs w:val="22"/>
        </w:rPr>
      </w:pPr>
    </w:p>
    <w:p w:rsidR="003511D5" w:rsidRDefault="003511D5" w:rsidP="00062632">
      <w:pPr>
        <w:ind w:right="-1"/>
        <w:jc w:val="both"/>
        <w:rPr>
          <w:rFonts w:ascii="Calibri" w:hAnsi="Calibri" w:cs="Calibri"/>
          <w:sz w:val="22"/>
          <w:szCs w:val="22"/>
        </w:rPr>
      </w:pPr>
    </w:p>
    <w:p w:rsidR="00642A8D" w:rsidRPr="00C02950" w:rsidRDefault="00C02950" w:rsidP="00C02950">
      <w:pPr>
        <w:autoSpaceDE w:val="0"/>
        <w:autoSpaceDN w:val="0"/>
        <w:adjustRightInd w:val="0"/>
        <w:spacing w:after="120"/>
        <w:jc w:val="both"/>
        <w:rPr>
          <w:rFonts w:ascii="Calibri" w:hAnsi="Calibri" w:cs="Calibri"/>
          <w:i/>
          <w:sz w:val="22"/>
          <w:szCs w:val="22"/>
          <w:highlight w:val="lightGray"/>
        </w:rPr>
      </w:pPr>
      <w:r w:rsidRPr="00C02950">
        <w:rPr>
          <w:rFonts w:ascii="Calibri" w:hAnsi="Calibri" w:cs="Calibri"/>
          <w:i/>
          <w:sz w:val="22"/>
          <w:szCs w:val="22"/>
          <w:highlight w:val="lightGray"/>
        </w:rPr>
        <w:t>Nota: Suspensión reglas fiscales y Planes económicos financieros.</w:t>
      </w:r>
    </w:p>
    <w:p w:rsidR="00872E2D" w:rsidRDefault="00C02950" w:rsidP="00CC48FA">
      <w:pPr>
        <w:autoSpaceDE w:val="0"/>
        <w:autoSpaceDN w:val="0"/>
        <w:adjustRightInd w:val="0"/>
        <w:spacing w:after="120"/>
        <w:jc w:val="both"/>
        <w:rPr>
          <w:rFonts w:ascii="Arial" w:hAnsi="Arial"/>
          <w:b/>
          <w:bCs/>
          <w:sz w:val="20"/>
          <w:szCs w:val="20"/>
        </w:rPr>
      </w:pPr>
      <w:r w:rsidRPr="00C02950">
        <w:rPr>
          <w:rFonts w:ascii="Calibri" w:hAnsi="Calibri" w:cs="Calibri"/>
          <w:i/>
          <w:sz w:val="22"/>
          <w:szCs w:val="22"/>
          <w:highlight w:val="lightGray"/>
        </w:rPr>
        <w:t xml:space="preserve">Suspendidas las reglas fiscales en </w:t>
      </w:r>
      <w:r w:rsidR="00A6339F">
        <w:rPr>
          <w:rFonts w:ascii="Calibri" w:hAnsi="Calibri" w:cs="Calibri"/>
          <w:i/>
          <w:sz w:val="22"/>
          <w:szCs w:val="22"/>
          <w:highlight w:val="lightGray"/>
        </w:rPr>
        <w:t>el ejercicio 202</w:t>
      </w:r>
      <w:r w:rsidR="005C259F">
        <w:rPr>
          <w:rFonts w:ascii="Calibri" w:hAnsi="Calibri" w:cs="Calibri"/>
          <w:i/>
          <w:sz w:val="22"/>
          <w:szCs w:val="22"/>
          <w:highlight w:val="lightGray"/>
        </w:rPr>
        <w:t>3,</w:t>
      </w:r>
      <w:r w:rsidRPr="00C02950">
        <w:rPr>
          <w:rFonts w:ascii="Calibri" w:hAnsi="Calibri" w:cs="Calibri"/>
          <w:i/>
          <w:sz w:val="22"/>
          <w:szCs w:val="22"/>
          <w:highlight w:val="lightGray"/>
        </w:rPr>
        <w:t xml:space="preserve"> no se exigirá la presentación de planes económico-financieros ni su aprobación ni se aplicarán medidas como la adopción de acuerdos de no disponibilidad de créditos con origen en aspectos relativos a la presentación o aprobación de dichos planes o al cumplimiento de las reglas.</w:t>
      </w:r>
    </w:p>
    <w:p w:rsidR="00872E2D" w:rsidRDefault="00872E2D" w:rsidP="008C0F21">
      <w:pPr>
        <w:widowControl w:val="0"/>
        <w:autoSpaceDE w:val="0"/>
        <w:autoSpaceDN w:val="0"/>
        <w:adjustRightInd w:val="0"/>
        <w:spacing w:line="240" w:lineRule="atLeast"/>
        <w:rPr>
          <w:rFonts w:ascii="Arial" w:hAnsi="Arial"/>
          <w:b/>
          <w:bCs/>
          <w:sz w:val="20"/>
          <w:szCs w:val="20"/>
        </w:rPr>
      </w:pPr>
    </w:p>
    <w:p w:rsidR="00872E2D" w:rsidRDefault="00872E2D" w:rsidP="008C0F21">
      <w:pPr>
        <w:widowControl w:val="0"/>
        <w:autoSpaceDE w:val="0"/>
        <w:autoSpaceDN w:val="0"/>
        <w:adjustRightInd w:val="0"/>
        <w:spacing w:line="240" w:lineRule="atLeast"/>
        <w:rPr>
          <w:rFonts w:ascii="Arial" w:hAnsi="Arial"/>
          <w:b/>
          <w:bCs/>
          <w:sz w:val="20"/>
          <w:szCs w:val="20"/>
        </w:rPr>
      </w:pPr>
    </w:p>
    <w:p w:rsidR="00872E2D" w:rsidRDefault="00872E2D" w:rsidP="008C0F21">
      <w:pPr>
        <w:widowControl w:val="0"/>
        <w:autoSpaceDE w:val="0"/>
        <w:autoSpaceDN w:val="0"/>
        <w:adjustRightInd w:val="0"/>
        <w:spacing w:line="240" w:lineRule="atLeast"/>
        <w:rPr>
          <w:rFonts w:ascii="Arial" w:hAnsi="Arial"/>
          <w:b/>
          <w:bCs/>
          <w:sz w:val="20"/>
          <w:szCs w:val="20"/>
        </w:rPr>
      </w:pPr>
    </w:p>
    <w:p w:rsidR="008C0F21" w:rsidRDefault="008C0F21" w:rsidP="008C0F21">
      <w:pPr>
        <w:widowControl w:val="0"/>
        <w:autoSpaceDE w:val="0"/>
        <w:autoSpaceDN w:val="0"/>
        <w:adjustRightInd w:val="0"/>
        <w:spacing w:line="240" w:lineRule="atLeast"/>
        <w:rPr>
          <w:rFonts w:ascii="Arial" w:hAnsi="Arial"/>
          <w:b/>
          <w:bCs/>
          <w:sz w:val="20"/>
          <w:szCs w:val="20"/>
        </w:rPr>
      </w:pPr>
      <w:r>
        <w:rPr>
          <w:rFonts w:ascii="Arial" w:hAnsi="Arial"/>
          <w:b/>
          <w:bCs/>
          <w:sz w:val="20"/>
          <w:szCs w:val="20"/>
        </w:rPr>
        <w:t>AYUNTAMIENTO DE__________________________</w:t>
      </w:r>
    </w:p>
    <w:p w:rsidR="008C0F21" w:rsidRDefault="008C0F21" w:rsidP="008C0F21">
      <w:pPr>
        <w:widowControl w:val="0"/>
        <w:autoSpaceDE w:val="0"/>
        <w:autoSpaceDN w:val="0"/>
        <w:adjustRightInd w:val="0"/>
        <w:spacing w:line="240" w:lineRule="atLeast"/>
        <w:rPr>
          <w:rFonts w:ascii="Arial" w:hAnsi="Arial"/>
          <w:b/>
          <w:bCs/>
          <w:sz w:val="20"/>
          <w:szCs w:val="20"/>
        </w:rPr>
      </w:pPr>
    </w:p>
    <w:p w:rsidR="008C0F21" w:rsidRDefault="008C0F21" w:rsidP="008C0F21">
      <w:pPr>
        <w:widowControl w:val="0"/>
        <w:autoSpaceDE w:val="0"/>
        <w:autoSpaceDN w:val="0"/>
        <w:adjustRightInd w:val="0"/>
        <w:spacing w:line="240" w:lineRule="atLeast"/>
        <w:rPr>
          <w:rFonts w:ascii="Arial" w:hAnsi="Arial"/>
          <w:b/>
          <w:bCs/>
          <w:sz w:val="20"/>
          <w:szCs w:val="20"/>
        </w:rPr>
      </w:pPr>
      <w:r>
        <w:rPr>
          <w:rFonts w:ascii="Arial" w:hAnsi="Arial"/>
          <w:b/>
          <w:bCs/>
          <w:sz w:val="20"/>
          <w:szCs w:val="20"/>
        </w:rPr>
        <w:t>(PALENCIA)</w:t>
      </w:r>
    </w:p>
    <w:p w:rsidR="008C0F21" w:rsidRDefault="008C0F21" w:rsidP="008C0F21">
      <w:pPr>
        <w:widowControl w:val="0"/>
        <w:autoSpaceDE w:val="0"/>
        <w:autoSpaceDN w:val="0"/>
        <w:adjustRightInd w:val="0"/>
        <w:spacing w:line="240" w:lineRule="atLeast"/>
        <w:jc w:val="both"/>
        <w:rPr>
          <w:rFonts w:ascii="Arial" w:hAnsi="Arial"/>
          <w:sz w:val="20"/>
          <w:szCs w:val="20"/>
        </w:rPr>
      </w:pPr>
    </w:p>
    <w:p w:rsidR="00A6620C" w:rsidRDefault="00A6620C" w:rsidP="008C0F21">
      <w:pPr>
        <w:widowControl w:val="0"/>
        <w:autoSpaceDE w:val="0"/>
        <w:autoSpaceDN w:val="0"/>
        <w:adjustRightInd w:val="0"/>
        <w:spacing w:line="240" w:lineRule="atLeast"/>
        <w:jc w:val="both"/>
        <w:rPr>
          <w:rFonts w:ascii="Arial" w:hAnsi="Arial"/>
          <w:sz w:val="20"/>
          <w:szCs w:val="20"/>
        </w:rPr>
      </w:pPr>
    </w:p>
    <w:p w:rsidR="00062632" w:rsidRDefault="00062632" w:rsidP="008C0F21">
      <w:pPr>
        <w:widowControl w:val="0"/>
        <w:autoSpaceDE w:val="0"/>
        <w:autoSpaceDN w:val="0"/>
        <w:adjustRightInd w:val="0"/>
        <w:spacing w:line="240" w:lineRule="atLeast"/>
        <w:jc w:val="both"/>
        <w:rPr>
          <w:rFonts w:ascii="Arial" w:hAnsi="Arial"/>
          <w:sz w:val="20"/>
          <w:szCs w:val="20"/>
        </w:rPr>
      </w:pPr>
    </w:p>
    <w:p w:rsidR="008C0F21" w:rsidRPr="004D6B44" w:rsidRDefault="008C0F21" w:rsidP="008C0F21">
      <w:pPr>
        <w:widowControl w:val="0"/>
        <w:autoSpaceDE w:val="0"/>
        <w:autoSpaceDN w:val="0"/>
        <w:adjustRightInd w:val="0"/>
        <w:spacing w:line="240" w:lineRule="atLeast"/>
        <w:jc w:val="center"/>
        <w:rPr>
          <w:rFonts w:ascii="Arial" w:hAnsi="Arial"/>
          <w:b/>
          <w:bCs/>
          <w:sz w:val="22"/>
          <w:szCs w:val="22"/>
          <w:u w:val="single"/>
        </w:rPr>
      </w:pPr>
      <w:r w:rsidRPr="004D6B44">
        <w:rPr>
          <w:rFonts w:ascii="Arial" w:hAnsi="Arial"/>
          <w:b/>
          <w:bCs/>
          <w:sz w:val="22"/>
          <w:szCs w:val="22"/>
          <w:u w:val="single"/>
        </w:rPr>
        <w:t>DECRETO DE</w:t>
      </w:r>
      <w:r w:rsidR="003511D5">
        <w:rPr>
          <w:rFonts w:ascii="Arial" w:hAnsi="Arial"/>
          <w:b/>
          <w:bCs/>
          <w:sz w:val="22"/>
          <w:szCs w:val="22"/>
          <w:u w:val="single"/>
        </w:rPr>
        <w:t xml:space="preserve"> LA ALCALDÍA</w:t>
      </w:r>
    </w:p>
    <w:p w:rsidR="008C0F21" w:rsidRPr="004D6B44" w:rsidRDefault="008C0F21" w:rsidP="008C0F21">
      <w:pPr>
        <w:widowControl w:val="0"/>
        <w:autoSpaceDE w:val="0"/>
        <w:autoSpaceDN w:val="0"/>
        <w:adjustRightInd w:val="0"/>
        <w:spacing w:line="240" w:lineRule="atLeast"/>
        <w:jc w:val="both"/>
        <w:rPr>
          <w:rFonts w:ascii="Arial" w:hAnsi="Arial"/>
          <w:sz w:val="22"/>
          <w:szCs w:val="22"/>
        </w:rPr>
      </w:pPr>
    </w:p>
    <w:p w:rsidR="003511D5" w:rsidRPr="00AD488D" w:rsidRDefault="003511D5" w:rsidP="003511D5">
      <w:pPr>
        <w:widowControl w:val="0"/>
        <w:spacing w:after="120"/>
        <w:ind w:firstLine="709"/>
        <w:jc w:val="both"/>
        <w:rPr>
          <w:rFonts w:ascii="Arial" w:hAnsi="Arial" w:cs="Arial"/>
          <w:snapToGrid w:val="0"/>
          <w:sz w:val="22"/>
          <w:szCs w:val="22"/>
        </w:rPr>
      </w:pPr>
      <w:r w:rsidRPr="00AD488D">
        <w:rPr>
          <w:rFonts w:ascii="Arial" w:hAnsi="Arial" w:cs="Arial"/>
          <w:snapToGrid w:val="0"/>
          <w:sz w:val="22"/>
          <w:szCs w:val="22"/>
        </w:rPr>
        <w:t>Resultando que con fecha 31</w:t>
      </w:r>
      <w:r>
        <w:rPr>
          <w:rFonts w:ascii="Arial" w:hAnsi="Arial" w:cs="Arial"/>
          <w:snapToGrid w:val="0"/>
          <w:sz w:val="22"/>
          <w:szCs w:val="22"/>
        </w:rPr>
        <w:t>/12/202__</w:t>
      </w:r>
      <w:r w:rsidRPr="00AD488D">
        <w:rPr>
          <w:rFonts w:ascii="Arial" w:hAnsi="Arial" w:cs="Arial"/>
          <w:snapToGrid w:val="0"/>
          <w:sz w:val="22"/>
          <w:szCs w:val="22"/>
        </w:rPr>
        <w:t xml:space="preserve"> se ha producido el cierre del Presupuesto del Ayuntamiento de </w:t>
      </w:r>
      <w:r>
        <w:rPr>
          <w:rFonts w:ascii="Arial" w:hAnsi="Arial" w:cs="Arial"/>
          <w:snapToGrid w:val="0"/>
          <w:sz w:val="22"/>
          <w:szCs w:val="22"/>
        </w:rPr>
        <w:t>________________</w:t>
      </w:r>
      <w:r w:rsidRPr="00AD488D">
        <w:rPr>
          <w:rFonts w:ascii="Arial" w:hAnsi="Arial" w:cs="Arial"/>
          <w:snapToGrid w:val="0"/>
          <w:sz w:val="22"/>
          <w:szCs w:val="22"/>
        </w:rPr>
        <w:t xml:space="preserve"> correspondiente al Ejercicio de </w:t>
      </w:r>
      <w:r w:rsidRPr="00DD38C2">
        <w:rPr>
          <w:rFonts w:ascii="Arial" w:hAnsi="Arial"/>
          <w:b/>
          <w:color w:val="0000FF"/>
          <w:sz w:val="22"/>
          <w:szCs w:val="22"/>
        </w:rPr>
        <w:t>202____</w:t>
      </w:r>
      <w:r w:rsidRPr="00AD488D">
        <w:rPr>
          <w:rFonts w:ascii="Arial" w:hAnsi="Arial" w:cs="Arial"/>
          <w:snapToGrid w:val="0"/>
          <w:sz w:val="22"/>
          <w:szCs w:val="22"/>
        </w:rPr>
        <w:t xml:space="preserve"> </w:t>
      </w:r>
      <w:r w:rsidRPr="00AD488D">
        <w:rPr>
          <w:rFonts w:ascii="Arial" w:hAnsi="Arial" w:cs="Arial"/>
          <w:sz w:val="22"/>
          <w:szCs w:val="22"/>
        </w:rPr>
        <w:t xml:space="preserve">y que </w:t>
      </w:r>
      <w:r w:rsidRPr="00AD488D">
        <w:rPr>
          <w:rFonts w:ascii="Arial" w:hAnsi="Arial" w:cs="Arial"/>
          <w:snapToGrid w:val="0"/>
          <w:sz w:val="22"/>
          <w:szCs w:val="22"/>
        </w:rPr>
        <w:t>han sido confeccionados los estados demostrativos de la Liquidación del Presupuesto.</w:t>
      </w:r>
    </w:p>
    <w:p w:rsidR="003511D5" w:rsidRPr="00AD488D" w:rsidRDefault="003511D5" w:rsidP="003511D5">
      <w:pPr>
        <w:spacing w:after="120"/>
        <w:ind w:firstLine="720"/>
        <w:jc w:val="both"/>
        <w:rPr>
          <w:rFonts w:ascii="Arial" w:hAnsi="Arial" w:cs="Arial"/>
          <w:sz w:val="22"/>
          <w:szCs w:val="22"/>
        </w:rPr>
      </w:pPr>
      <w:r w:rsidRPr="00AD488D">
        <w:rPr>
          <w:rFonts w:ascii="Arial" w:hAnsi="Arial" w:cs="Arial"/>
          <w:snapToGrid w:val="0"/>
          <w:sz w:val="22"/>
          <w:szCs w:val="22"/>
        </w:rPr>
        <w:t xml:space="preserve">Considerando lo establecido por los artículos </w:t>
      </w:r>
      <w:smartTag w:uri="urn:schemas-microsoft-com:office:smarttags" w:element="metricconverter">
        <w:smartTagPr>
          <w:attr w:name="ProductID" w:val="191 a"/>
        </w:smartTagPr>
        <w:r w:rsidRPr="00AD488D">
          <w:rPr>
            <w:rFonts w:ascii="Arial" w:hAnsi="Arial" w:cs="Arial"/>
            <w:snapToGrid w:val="0"/>
            <w:sz w:val="22"/>
            <w:szCs w:val="22"/>
          </w:rPr>
          <w:t>191 a</w:t>
        </w:r>
      </w:smartTag>
      <w:r w:rsidRPr="00AD488D">
        <w:rPr>
          <w:rFonts w:ascii="Arial" w:hAnsi="Arial" w:cs="Arial"/>
          <w:snapToGrid w:val="0"/>
          <w:sz w:val="22"/>
          <w:szCs w:val="22"/>
        </w:rPr>
        <w:t xml:space="preserve"> 193 del Texto Refundido de la Ley Reguladora de las Haciendas Locales, aprobado por Real Decreto Legislativo 2/2004, de 5 de marzo</w:t>
      </w:r>
      <w:r>
        <w:rPr>
          <w:rFonts w:ascii="Arial" w:hAnsi="Arial" w:cs="Arial"/>
          <w:snapToGrid w:val="0"/>
          <w:sz w:val="22"/>
          <w:szCs w:val="22"/>
        </w:rPr>
        <w:t xml:space="preserve"> (TRLRHL)</w:t>
      </w:r>
      <w:r w:rsidRPr="00AD488D">
        <w:rPr>
          <w:rFonts w:ascii="Arial" w:hAnsi="Arial" w:cs="Arial"/>
          <w:snapToGrid w:val="0"/>
          <w:sz w:val="22"/>
          <w:szCs w:val="22"/>
        </w:rPr>
        <w:t>, y por los artículos 90 y 91 del Real Decreto 500/1990, de 20 de abril,</w:t>
      </w:r>
      <w:r w:rsidRPr="00AD488D">
        <w:rPr>
          <w:rFonts w:ascii="Arial" w:hAnsi="Arial" w:cs="Arial"/>
          <w:sz w:val="22"/>
          <w:szCs w:val="22"/>
        </w:rPr>
        <w:t xml:space="preserve"> por el que se desarrolla el Capítulo I del Título VI de la Ley 39/1988, de 28 de diciembre, Reguladora de las Haciendas Locales, en materia de presupuestos</w:t>
      </w:r>
      <w:r>
        <w:rPr>
          <w:rFonts w:ascii="Arial" w:hAnsi="Arial" w:cs="Arial"/>
          <w:sz w:val="22"/>
          <w:szCs w:val="22"/>
        </w:rPr>
        <w:t xml:space="preserve"> (RD 500/1990)</w:t>
      </w:r>
      <w:r w:rsidRPr="00AD488D">
        <w:rPr>
          <w:rFonts w:ascii="Arial" w:hAnsi="Arial" w:cs="Arial"/>
          <w:sz w:val="22"/>
          <w:szCs w:val="22"/>
        </w:rPr>
        <w:t>.</w:t>
      </w:r>
    </w:p>
    <w:p w:rsidR="003511D5" w:rsidRDefault="003511D5" w:rsidP="003511D5">
      <w:pPr>
        <w:spacing w:after="120"/>
        <w:jc w:val="both"/>
        <w:rPr>
          <w:rFonts w:ascii="Arial" w:hAnsi="Arial" w:cs="Arial"/>
          <w:sz w:val="22"/>
          <w:szCs w:val="22"/>
        </w:rPr>
      </w:pPr>
      <w:r w:rsidRPr="00AD488D">
        <w:rPr>
          <w:rFonts w:ascii="Arial" w:hAnsi="Arial" w:cs="Arial"/>
          <w:b/>
          <w:snapToGrid w:val="0"/>
          <w:sz w:val="22"/>
          <w:szCs w:val="22"/>
        </w:rPr>
        <w:tab/>
      </w:r>
      <w:r w:rsidRPr="00AD488D">
        <w:rPr>
          <w:rFonts w:ascii="Arial" w:hAnsi="Arial" w:cs="Arial"/>
          <w:sz w:val="22"/>
          <w:szCs w:val="22"/>
        </w:rPr>
        <w:t>Visto</w:t>
      </w:r>
      <w:r>
        <w:rPr>
          <w:rFonts w:ascii="Arial" w:hAnsi="Arial" w:cs="Arial"/>
          <w:sz w:val="22"/>
          <w:szCs w:val="22"/>
        </w:rPr>
        <w:t xml:space="preserve"> el</w:t>
      </w:r>
      <w:r w:rsidRPr="00AD488D">
        <w:rPr>
          <w:rFonts w:ascii="Arial" w:hAnsi="Arial" w:cs="Arial"/>
          <w:sz w:val="22"/>
          <w:szCs w:val="22"/>
        </w:rPr>
        <w:t xml:space="preserve"> informe </w:t>
      </w:r>
      <w:r>
        <w:rPr>
          <w:rFonts w:ascii="Arial" w:hAnsi="Arial" w:cs="Arial"/>
          <w:sz w:val="22"/>
          <w:szCs w:val="22"/>
        </w:rPr>
        <w:t xml:space="preserve">de fecha _____________ emitido por </w:t>
      </w:r>
      <w:r w:rsidRPr="00AD488D">
        <w:rPr>
          <w:rFonts w:ascii="Arial" w:hAnsi="Arial" w:cs="Arial"/>
          <w:sz w:val="22"/>
          <w:szCs w:val="22"/>
        </w:rPr>
        <w:t>el</w:t>
      </w:r>
      <w:r>
        <w:rPr>
          <w:rFonts w:ascii="Arial" w:hAnsi="Arial" w:cs="Arial"/>
          <w:sz w:val="22"/>
          <w:szCs w:val="22"/>
        </w:rPr>
        <w:t>/la</w:t>
      </w:r>
      <w:r w:rsidRPr="00AD488D">
        <w:rPr>
          <w:rFonts w:ascii="Arial" w:hAnsi="Arial" w:cs="Arial"/>
          <w:sz w:val="22"/>
          <w:szCs w:val="22"/>
        </w:rPr>
        <w:t xml:space="preserve"> Secretario</w:t>
      </w:r>
      <w:r>
        <w:rPr>
          <w:rFonts w:ascii="Arial" w:hAnsi="Arial" w:cs="Arial"/>
          <w:sz w:val="22"/>
          <w:szCs w:val="22"/>
        </w:rPr>
        <w:t>/a</w:t>
      </w:r>
      <w:r w:rsidRPr="00AD488D">
        <w:rPr>
          <w:rFonts w:ascii="Arial" w:hAnsi="Arial" w:cs="Arial"/>
          <w:sz w:val="22"/>
          <w:szCs w:val="22"/>
        </w:rPr>
        <w:t>-Interventor</w:t>
      </w:r>
      <w:r>
        <w:rPr>
          <w:rFonts w:ascii="Arial" w:hAnsi="Arial" w:cs="Arial"/>
          <w:sz w:val="22"/>
          <w:szCs w:val="22"/>
        </w:rPr>
        <w:t>/a o Interventor/a con arreglo a lo establecido en el art</w:t>
      </w:r>
      <w:r w:rsidR="00446C56">
        <w:rPr>
          <w:rFonts w:ascii="Arial" w:hAnsi="Arial" w:cs="Arial"/>
          <w:sz w:val="22"/>
          <w:szCs w:val="22"/>
        </w:rPr>
        <w:t>ículo</w:t>
      </w:r>
      <w:r>
        <w:rPr>
          <w:rFonts w:ascii="Arial" w:hAnsi="Arial" w:cs="Arial"/>
          <w:sz w:val="22"/>
          <w:szCs w:val="22"/>
        </w:rPr>
        <w:t xml:space="preserve"> 191.3 TRLRHL y </w:t>
      </w:r>
      <w:r w:rsidR="009628EB">
        <w:rPr>
          <w:rFonts w:ascii="Arial" w:hAnsi="Arial" w:cs="Arial"/>
          <w:sz w:val="22"/>
          <w:szCs w:val="22"/>
        </w:rPr>
        <w:t>artículo</w:t>
      </w:r>
      <w:r w:rsidR="00446C56">
        <w:rPr>
          <w:rFonts w:ascii="Arial" w:hAnsi="Arial" w:cs="Arial"/>
          <w:sz w:val="22"/>
          <w:szCs w:val="22"/>
        </w:rPr>
        <w:t xml:space="preserve"> </w:t>
      </w:r>
      <w:r>
        <w:rPr>
          <w:rFonts w:ascii="Arial" w:hAnsi="Arial" w:cs="Arial"/>
          <w:sz w:val="22"/>
          <w:szCs w:val="22"/>
        </w:rPr>
        <w:t>90.1 RD 500/1990.</w:t>
      </w:r>
    </w:p>
    <w:p w:rsidR="00FC0F86" w:rsidRPr="00FC0F86" w:rsidRDefault="003511D5" w:rsidP="00FC0F86">
      <w:pPr>
        <w:spacing w:after="120"/>
        <w:jc w:val="both"/>
        <w:rPr>
          <w:rFonts w:ascii="Arial" w:hAnsi="Arial" w:cs="Arial"/>
          <w:sz w:val="22"/>
          <w:szCs w:val="22"/>
        </w:rPr>
      </w:pPr>
      <w:r>
        <w:rPr>
          <w:rFonts w:ascii="Arial" w:hAnsi="Arial" w:cs="Arial"/>
          <w:sz w:val="22"/>
          <w:szCs w:val="22"/>
        </w:rPr>
        <w:tab/>
        <w:t xml:space="preserve">Visto, asimismo, el informe que con fecha ___________ emana de la Secretaría-Intervención o Intervención Municipal, relativo a la </w:t>
      </w:r>
      <w:r w:rsidR="002137C3">
        <w:rPr>
          <w:rFonts w:ascii="Arial" w:hAnsi="Arial" w:cs="Arial"/>
          <w:sz w:val="22"/>
          <w:szCs w:val="22"/>
        </w:rPr>
        <w:t>Estabilidad Presupuestaria</w:t>
      </w:r>
      <w:r>
        <w:rPr>
          <w:rFonts w:ascii="Arial" w:hAnsi="Arial" w:cs="Arial"/>
          <w:sz w:val="22"/>
          <w:szCs w:val="22"/>
        </w:rPr>
        <w:t xml:space="preserve">, </w:t>
      </w:r>
      <w:r w:rsidR="002137C3">
        <w:rPr>
          <w:rFonts w:ascii="Arial" w:hAnsi="Arial" w:cs="Arial"/>
          <w:sz w:val="22"/>
          <w:szCs w:val="22"/>
        </w:rPr>
        <w:t>Regla de Gasto</w:t>
      </w:r>
      <w:r w:rsidR="00FC0F86">
        <w:rPr>
          <w:rFonts w:ascii="Arial" w:hAnsi="Arial" w:cs="Arial"/>
          <w:sz w:val="22"/>
          <w:szCs w:val="22"/>
        </w:rPr>
        <w:t xml:space="preserve"> y </w:t>
      </w:r>
      <w:r w:rsidR="002137C3">
        <w:rPr>
          <w:rFonts w:ascii="Arial" w:hAnsi="Arial" w:cs="Arial"/>
          <w:sz w:val="22"/>
          <w:szCs w:val="22"/>
        </w:rPr>
        <w:t xml:space="preserve">Límite de Deuda </w:t>
      </w:r>
      <w:proofErr w:type="spellStart"/>
      <w:r w:rsidR="002137C3">
        <w:rPr>
          <w:rFonts w:ascii="Arial" w:hAnsi="Arial" w:cs="Arial"/>
          <w:sz w:val="22"/>
          <w:szCs w:val="22"/>
        </w:rPr>
        <w:t>Pñublica</w:t>
      </w:r>
      <w:proofErr w:type="spellEnd"/>
      <w:r w:rsidR="00FC0F86">
        <w:rPr>
          <w:rFonts w:ascii="Arial" w:hAnsi="Arial" w:cs="Arial"/>
          <w:sz w:val="22"/>
          <w:szCs w:val="22"/>
        </w:rPr>
        <w:t xml:space="preserve">, en cumplimiento de las previsiones contenidas en el artículo 16.2 del </w:t>
      </w:r>
      <w:r w:rsidR="00FC0F86" w:rsidRPr="00FC0F86">
        <w:rPr>
          <w:rFonts w:ascii="Arial" w:hAnsi="Arial" w:cs="Arial"/>
          <w:sz w:val="22"/>
          <w:szCs w:val="22"/>
        </w:rPr>
        <w:t>Real Decreto 1463/2007, de 2 de noviembre, por el que se aprueba el reglamento de desarrollo de la L</w:t>
      </w:r>
      <w:r w:rsidR="009628EB">
        <w:rPr>
          <w:rFonts w:ascii="Arial" w:hAnsi="Arial" w:cs="Arial"/>
          <w:sz w:val="22"/>
          <w:szCs w:val="22"/>
        </w:rPr>
        <w:t xml:space="preserve">ey 18/2001, </w:t>
      </w:r>
      <w:r w:rsidR="00FC0F86" w:rsidRPr="00FC0F86">
        <w:rPr>
          <w:rFonts w:ascii="Arial" w:hAnsi="Arial" w:cs="Arial"/>
          <w:sz w:val="22"/>
          <w:szCs w:val="22"/>
        </w:rPr>
        <w:t xml:space="preserve">de 12 de diciembre, de </w:t>
      </w:r>
      <w:r w:rsidR="002137C3">
        <w:rPr>
          <w:rFonts w:ascii="Arial" w:hAnsi="Arial" w:cs="Arial"/>
          <w:sz w:val="22"/>
          <w:szCs w:val="22"/>
        </w:rPr>
        <w:t>Estabilidad Presupuestaria</w:t>
      </w:r>
      <w:r w:rsidR="00FC0F86" w:rsidRPr="00FC0F86">
        <w:rPr>
          <w:rFonts w:ascii="Arial" w:hAnsi="Arial" w:cs="Arial"/>
          <w:sz w:val="22"/>
          <w:szCs w:val="22"/>
        </w:rPr>
        <w:t>, en su aplicación a las entidades locales.</w:t>
      </w:r>
    </w:p>
    <w:p w:rsidR="00446C56" w:rsidRDefault="003511D5" w:rsidP="003511D5">
      <w:pPr>
        <w:spacing w:after="120"/>
        <w:jc w:val="both"/>
        <w:rPr>
          <w:rFonts w:ascii="Arial" w:hAnsi="Arial" w:cs="Arial"/>
          <w:sz w:val="22"/>
          <w:szCs w:val="22"/>
        </w:rPr>
      </w:pPr>
      <w:r>
        <w:rPr>
          <w:rFonts w:ascii="Arial" w:hAnsi="Arial" w:cs="Arial"/>
          <w:sz w:val="22"/>
          <w:szCs w:val="22"/>
        </w:rPr>
        <w:tab/>
      </w:r>
      <w:r w:rsidR="00446C56">
        <w:rPr>
          <w:rFonts w:ascii="Arial" w:hAnsi="Arial" w:cs="Arial"/>
          <w:sz w:val="22"/>
          <w:szCs w:val="22"/>
        </w:rPr>
        <w:t>Vistos el resto de los documentos y estados que integran el expediente de la Liquidación.</w:t>
      </w:r>
    </w:p>
    <w:p w:rsidR="003511D5" w:rsidRPr="00AD488D" w:rsidRDefault="00446C56" w:rsidP="003511D5">
      <w:pPr>
        <w:spacing w:after="120"/>
        <w:jc w:val="both"/>
        <w:rPr>
          <w:rFonts w:ascii="Arial" w:hAnsi="Arial" w:cs="Arial"/>
          <w:sz w:val="22"/>
          <w:szCs w:val="22"/>
        </w:rPr>
      </w:pPr>
      <w:r>
        <w:rPr>
          <w:rFonts w:ascii="Arial" w:hAnsi="Arial" w:cs="Arial"/>
          <w:sz w:val="22"/>
          <w:szCs w:val="22"/>
        </w:rPr>
        <w:tab/>
      </w:r>
      <w:r w:rsidR="003511D5">
        <w:rPr>
          <w:rFonts w:ascii="Arial" w:hAnsi="Arial" w:cs="Arial"/>
          <w:sz w:val="22"/>
          <w:szCs w:val="22"/>
        </w:rPr>
        <w:t>E</w:t>
      </w:r>
      <w:r w:rsidR="003511D5" w:rsidRPr="00AD488D">
        <w:rPr>
          <w:rFonts w:ascii="Arial" w:hAnsi="Arial" w:cs="Arial"/>
          <w:sz w:val="22"/>
          <w:szCs w:val="22"/>
        </w:rPr>
        <w:t xml:space="preserve">n virtud de la competencia que me atribuyen </w:t>
      </w:r>
      <w:r>
        <w:rPr>
          <w:rFonts w:ascii="Arial" w:hAnsi="Arial" w:cs="Arial"/>
          <w:sz w:val="22"/>
          <w:szCs w:val="22"/>
        </w:rPr>
        <w:t>el referido apartado 3 del artículo</w:t>
      </w:r>
      <w:r w:rsidR="003511D5" w:rsidRPr="00AD488D">
        <w:rPr>
          <w:rFonts w:ascii="Arial" w:hAnsi="Arial" w:cs="Arial"/>
          <w:sz w:val="22"/>
          <w:szCs w:val="22"/>
        </w:rPr>
        <w:t xml:space="preserve"> 193 </w:t>
      </w:r>
      <w:r>
        <w:rPr>
          <w:rFonts w:ascii="Arial" w:hAnsi="Arial" w:cs="Arial"/>
          <w:sz w:val="22"/>
          <w:szCs w:val="22"/>
        </w:rPr>
        <w:t>TRLRHL y apartado 1 del artículo 90 RD 500/1990, p</w:t>
      </w:r>
      <w:r w:rsidR="003511D5" w:rsidRPr="00AD488D">
        <w:rPr>
          <w:rFonts w:ascii="Arial" w:hAnsi="Arial" w:cs="Arial"/>
          <w:sz w:val="22"/>
          <w:szCs w:val="22"/>
        </w:rPr>
        <w:t>or medio del presente vengo a dictar la siguiente</w:t>
      </w:r>
    </w:p>
    <w:p w:rsidR="008C0F21" w:rsidRPr="00466497" w:rsidRDefault="008C0F21" w:rsidP="00446C56">
      <w:pPr>
        <w:widowControl w:val="0"/>
        <w:autoSpaceDE w:val="0"/>
        <w:autoSpaceDN w:val="0"/>
        <w:adjustRightInd w:val="0"/>
        <w:jc w:val="center"/>
        <w:rPr>
          <w:rFonts w:ascii="Arial" w:hAnsi="Arial"/>
          <w:sz w:val="22"/>
          <w:szCs w:val="22"/>
        </w:rPr>
      </w:pPr>
      <w:r w:rsidRPr="00AC5733">
        <w:rPr>
          <w:rFonts w:ascii="Arial" w:hAnsi="Arial"/>
          <w:b/>
          <w:sz w:val="22"/>
          <w:szCs w:val="22"/>
        </w:rPr>
        <w:t>RES</w:t>
      </w:r>
      <w:r w:rsidR="00446C56">
        <w:rPr>
          <w:rFonts w:ascii="Arial" w:hAnsi="Arial"/>
          <w:b/>
          <w:sz w:val="22"/>
          <w:szCs w:val="22"/>
        </w:rPr>
        <w:t>OLUCIÓN</w:t>
      </w:r>
    </w:p>
    <w:p w:rsidR="008C0F21" w:rsidRPr="00466497" w:rsidRDefault="008C0F21" w:rsidP="00FD6190">
      <w:pPr>
        <w:widowControl w:val="0"/>
        <w:autoSpaceDE w:val="0"/>
        <w:autoSpaceDN w:val="0"/>
        <w:adjustRightInd w:val="0"/>
        <w:jc w:val="both"/>
        <w:rPr>
          <w:rFonts w:ascii="Arial" w:hAnsi="Arial"/>
          <w:sz w:val="22"/>
          <w:szCs w:val="22"/>
        </w:rPr>
      </w:pPr>
    </w:p>
    <w:p w:rsidR="00FC0F86" w:rsidRDefault="00446C56" w:rsidP="00FC0F86">
      <w:pPr>
        <w:pStyle w:val="Textosinformato"/>
        <w:tabs>
          <w:tab w:val="num" w:pos="0"/>
        </w:tabs>
        <w:spacing w:after="360"/>
        <w:jc w:val="both"/>
        <w:rPr>
          <w:rFonts w:ascii="Arial" w:hAnsi="Arial" w:cs="Arial"/>
          <w:sz w:val="22"/>
          <w:szCs w:val="22"/>
        </w:rPr>
      </w:pPr>
      <w:r>
        <w:rPr>
          <w:rFonts w:ascii="Arial" w:hAnsi="Arial"/>
          <w:b/>
          <w:sz w:val="22"/>
          <w:szCs w:val="22"/>
        </w:rPr>
        <w:tab/>
      </w:r>
      <w:r w:rsidR="008C0F21" w:rsidRPr="00AC5733">
        <w:rPr>
          <w:rFonts w:ascii="Arial" w:hAnsi="Arial"/>
          <w:b/>
          <w:sz w:val="22"/>
          <w:szCs w:val="22"/>
        </w:rPr>
        <w:t>PRIMERO</w:t>
      </w:r>
      <w:r w:rsidR="00DD38C2">
        <w:rPr>
          <w:rFonts w:ascii="Arial" w:hAnsi="Arial"/>
          <w:b/>
          <w:sz w:val="22"/>
          <w:szCs w:val="22"/>
        </w:rPr>
        <w:t>.</w:t>
      </w:r>
      <w:r w:rsidR="00DD38C2" w:rsidRPr="00DD38C2">
        <w:rPr>
          <w:rFonts w:ascii="Arial" w:hAnsi="Arial" w:cs="Arial"/>
          <w:sz w:val="22"/>
          <w:szCs w:val="22"/>
        </w:rPr>
        <w:t xml:space="preserve"> </w:t>
      </w:r>
      <w:r w:rsidR="00DD38C2" w:rsidRPr="00AD488D">
        <w:rPr>
          <w:rFonts w:ascii="Arial" w:hAnsi="Arial" w:cs="Arial"/>
          <w:sz w:val="22"/>
          <w:szCs w:val="22"/>
        </w:rPr>
        <w:t>Aprobar la Liquidación del Presupuesto cor</w:t>
      </w:r>
      <w:r w:rsidR="00DD38C2">
        <w:rPr>
          <w:rFonts w:ascii="Arial" w:hAnsi="Arial" w:cs="Arial"/>
          <w:sz w:val="22"/>
          <w:szCs w:val="22"/>
        </w:rPr>
        <w:t xml:space="preserve">respondiente al Ejercicio de </w:t>
      </w:r>
      <w:r w:rsidR="00DD38C2" w:rsidRPr="00DD38C2">
        <w:rPr>
          <w:rFonts w:ascii="Arial" w:hAnsi="Arial"/>
          <w:b/>
          <w:color w:val="0000FF"/>
          <w:sz w:val="22"/>
          <w:szCs w:val="22"/>
        </w:rPr>
        <w:t>202</w:t>
      </w:r>
      <w:r w:rsidR="00DD38C2" w:rsidRPr="00DD38C2">
        <w:rPr>
          <w:rFonts w:ascii="Arial" w:hAnsi="Arial"/>
          <w:b/>
          <w:color w:val="0000FF"/>
          <w:sz w:val="22"/>
          <w:szCs w:val="22"/>
        </w:rPr>
        <w:t>___</w:t>
      </w:r>
      <w:r w:rsidR="00DD38C2" w:rsidRPr="00DD38C2">
        <w:rPr>
          <w:rFonts w:ascii="Arial" w:hAnsi="Arial"/>
          <w:b/>
          <w:color w:val="0000FF"/>
          <w:sz w:val="22"/>
          <w:szCs w:val="22"/>
        </w:rPr>
        <w:t>,</w:t>
      </w:r>
      <w:r w:rsidR="00DD38C2" w:rsidRPr="00AD488D">
        <w:rPr>
          <w:rFonts w:ascii="Arial" w:hAnsi="Arial" w:cs="Arial"/>
          <w:sz w:val="22"/>
          <w:szCs w:val="22"/>
        </w:rPr>
        <w:t xml:space="preserve"> en los propios términos que constan en sus estados demostrativos, la cual arroja el siguiente </w:t>
      </w:r>
      <w:r w:rsidR="00DD38C2">
        <w:rPr>
          <w:rFonts w:ascii="Arial" w:hAnsi="Arial" w:cs="Arial"/>
          <w:sz w:val="22"/>
          <w:szCs w:val="22"/>
        </w:rPr>
        <w:t>resumen</w:t>
      </w:r>
      <w:r w:rsidR="00DD38C2" w:rsidRPr="00AD488D">
        <w:rPr>
          <w:rFonts w:ascii="Arial" w:hAnsi="Arial" w:cs="Arial"/>
          <w:sz w:val="22"/>
          <w:szCs w:val="22"/>
        </w:rPr>
        <w:t>:</w:t>
      </w:r>
    </w:p>
    <w:p w:rsidR="00FC0F86" w:rsidRDefault="00FC0F86" w:rsidP="00FC0F86">
      <w:pPr>
        <w:pStyle w:val="Textosinformato"/>
        <w:tabs>
          <w:tab w:val="num" w:pos="0"/>
        </w:tabs>
        <w:spacing w:after="240"/>
        <w:jc w:val="center"/>
        <w:rPr>
          <w:rFonts w:ascii="Arial" w:hAnsi="Arial" w:cs="Arial"/>
          <w:sz w:val="22"/>
          <w:szCs w:val="22"/>
        </w:rPr>
      </w:pPr>
      <w:r>
        <w:rPr>
          <w:rFonts w:ascii="Arial" w:hAnsi="Arial"/>
          <w:b/>
          <w:sz w:val="22"/>
          <w:szCs w:val="22"/>
          <w:u w:val="single"/>
        </w:rPr>
        <w:t>LIQUIDACIÓN DEL PRESUPUESTO</w:t>
      </w:r>
    </w:p>
    <w:tbl>
      <w:tblPr>
        <w:tblStyle w:val="Tablaconcuadrcula"/>
        <w:tblW w:w="10207" w:type="dxa"/>
        <w:tblInd w:w="-856" w:type="dxa"/>
        <w:tblLook w:val="04A0" w:firstRow="1" w:lastRow="0" w:firstColumn="1" w:lastColumn="0" w:noHBand="0" w:noVBand="1"/>
      </w:tblPr>
      <w:tblGrid>
        <w:gridCol w:w="2978"/>
        <w:gridCol w:w="1559"/>
        <w:gridCol w:w="4111"/>
        <w:gridCol w:w="1559"/>
      </w:tblGrid>
      <w:tr w:rsidR="00A8606F" w:rsidTr="00FC0F86">
        <w:tc>
          <w:tcPr>
            <w:tcW w:w="2978" w:type="dxa"/>
          </w:tcPr>
          <w:p w:rsidR="00A8606F" w:rsidRPr="00A8606F" w:rsidRDefault="00FC0F86" w:rsidP="00FC0F86">
            <w:pPr>
              <w:jc w:val="both"/>
              <w:rPr>
                <w:rFonts w:ascii="Arial" w:hAnsi="Arial" w:cs="Arial"/>
                <w:b/>
                <w:sz w:val="20"/>
                <w:szCs w:val="20"/>
              </w:rPr>
            </w:pPr>
            <w:r>
              <w:rPr>
                <w:rFonts w:ascii="Arial" w:hAnsi="Arial" w:cs="Arial"/>
                <w:b/>
                <w:sz w:val="20"/>
                <w:szCs w:val="20"/>
              </w:rPr>
              <w:t xml:space="preserve">DE </w:t>
            </w:r>
            <w:r w:rsidR="00A8606F" w:rsidRPr="00A8606F">
              <w:rPr>
                <w:rFonts w:ascii="Arial" w:hAnsi="Arial" w:cs="Arial"/>
                <w:b/>
                <w:sz w:val="20"/>
                <w:szCs w:val="20"/>
              </w:rPr>
              <w:t>INGRESOS</w:t>
            </w:r>
          </w:p>
        </w:tc>
        <w:tc>
          <w:tcPr>
            <w:tcW w:w="1559" w:type="dxa"/>
          </w:tcPr>
          <w:p w:rsidR="00A8606F" w:rsidRPr="00A8606F" w:rsidRDefault="00A8606F" w:rsidP="00A8606F">
            <w:pPr>
              <w:jc w:val="center"/>
              <w:rPr>
                <w:rFonts w:ascii="Arial" w:hAnsi="Arial" w:cs="Arial"/>
                <w:b/>
                <w:bCs/>
                <w:sz w:val="20"/>
                <w:szCs w:val="20"/>
              </w:rPr>
            </w:pPr>
            <w:r w:rsidRPr="00A8606F">
              <w:rPr>
                <w:rFonts w:ascii="Arial" w:hAnsi="Arial" w:cs="Arial"/>
                <w:b/>
                <w:bCs/>
                <w:sz w:val="20"/>
                <w:szCs w:val="20"/>
              </w:rPr>
              <w:t>IMPORTE</w:t>
            </w:r>
          </w:p>
        </w:tc>
        <w:tc>
          <w:tcPr>
            <w:tcW w:w="4111" w:type="dxa"/>
          </w:tcPr>
          <w:p w:rsidR="00A8606F" w:rsidRPr="00A8606F" w:rsidRDefault="00FC0F86" w:rsidP="00FC0F86">
            <w:pPr>
              <w:rPr>
                <w:rFonts w:ascii="Arial" w:hAnsi="Arial" w:cs="Arial"/>
                <w:b/>
                <w:sz w:val="20"/>
                <w:szCs w:val="20"/>
              </w:rPr>
            </w:pPr>
            <w:r>
              <w:rPr>
                <w:rFonts w:ascii="Arial" w:hAnsi="Arial" w:cs="Arial"/>
                <w:b/>
                <w:sz w:val="20"/>
                <w:szCs w:val="20"/>
              </w:rPr>
              <w:t>DE</w:t>
            </w:r>
            <w:r w:rsidR="00A8606F" w:rsidRPr="00A8606F">
              <w:rPr>
                <w:rFonts w:ascii="Arial" w:hAnsi="Arial" w:cs="Arial"/>
                <w:b/>
                <w:sz w:val="20"/>
                <w:szCs w:val="20"/>
              </w:rPr>
              <w:t xml:space="preserve"> GASTOS</w:t>
            </w:r>
          </w:p>
        </w:tc>
        <w:tc>
          <w:tcPr>
            <w:tcW w:w="1559" w:type="dxa"/>
          </w:tcPr>
          <w:p w:rsidR="00A8606F" w:rsidRPr="00A8606F" w:rsidRDefault="00A8606F" w:rsidP="00A8606F">
            <w:pPr>
              <w:jc w:val="center"/>
              <w:rPr>
                <w:rFonts w:ascii="Arial" w:hAnsi="Arial" w:cs="Arial"/>
                <w:b/>
                <w:bCs/>
                <w:sz w:val="20"/>
                <w:szCs w:val="20"/>
              </w:rPr>
            </w:pPr>
            <w:r w:rsidRPr="00A8606F">
              <w:rPr>
                <w:rFonts w:ascii="Arial" w:hAnsi="Arial" w:cs="Arial"/>
                <w:b/>
                <w:bCs/>
                <w:sz w:val="20"/>
                <w:szCs w:val="20"/>
              </w:rPr>
              <w:t>IMPORTE</w:t>
            </w:r>
          </w:p>
        </w:tc>
      </w:tr>
      <w:tr w:rsidR="00FC0F86" w:rsidTr="00FC0F86">
        <w:tc>
          <w:tcPr>
            <w:tcW w:w="2978" w:type="dxa"/>
          </w:tcPr>
          <w:p w:rsidR="00A8606F" w:rsidRPr="00A8606F" w:rsidRDefault="00A8606F" w:rsidP="00A8606F">
            <w:pPr>
              <w:jc w:val="both"/>
              <w:rPr>
                <w:rFonts w:ascii="Arial" w:hAnsi="Arial" w:cs="Arial"/>
                <w:b/>
                <w:bCs/>
                <w:sz w:val="20"/>
                <w:szCs w:val="20"/>
              </w:rPr>
            </w:pPr>
            <w:r w:rsidRPr="00A8606F">
              <w:rPr>
                <w:rFonts w:ascii="Arial" w:hAnsi="Arial" w:cs="Arial"/>
                <w:sz w:val="20"/>
                <w:szCs w:val="20"/>
              </w:rPr>
              <w:t>Previsiones iniciales</w:t>
            </w:r>
          </w:p>
        </w:tc>
        <w:tc>
          <w:tcPr>
            <w:tcW w:w="1559" w:type="dxa"/>
          </w:tcPr>
          <w:p w:rsidR="00A8606F" w:rsidRPr="003C48E1" w:rsidRDefault="00A8606F" w:rsidP="00A8606F">
            <w:pPr>
              <w:jc w:val="right"/>
              <w:rPr>
                <w:rFonts w:ascii="Arial" w:hAnsi="Arial" w:cs="Arial"/>
                <w:bCs/>
              </w:rPr>
            </w:pPr>
          </w:p>
        </w:tc>
        <w:tc>
          <w:tcPr>
            <w:tcW w:w="4111" w:type="dxa"/>
          </w:tcPr>
          <w:p w:rsidR="00A8606F" w:rsidRPr="00A8606F" w:rsidRDefault="00A8606F" w:rsidP="00A8606F">
            <w:pPr>
              <w:rPr>
                <w:rFonts w:ascii="Arial" w:hAnsi="Arial" w:cs="Arial"/>
                <w:sz w:val="20"/>
                <w:szCs w:val="20"/>
              </w:rPr>
            </w:pPr>
            <w:r w:rsidRPr="00A8606F">
              <w:rPr>
                <w:rFonts w:ascii="Arial" w:hAnsi="Arial" w:cs="Arial"/>
                <w:sz w:val="20"/>
                <w:szCs w:val="20"/>
              </w:rPr>
              <w:t>Créditos iniciales</w:t>
            </w:r>
          </w:p>
        </w:tc>
        <w:tc>
          <w:tcPr>
            <w:tcW w:w="1559" w:type="dxa"/>
          </w:tcPr>
          <w:p w:rsidR="00A8606F" w:rsidRPr="003C48E1" w:rsidRDefault="00A8606F" w:rsidP="00A8606F">
            <w:pPr>
              <w:jc w:val="right"/>
              <w:rPr>
                <w:rFonts w:ascii="Arial" w:hAnsi="Arial" w:cs="Arial"/>
                <w:bCs/>
              </w:rPr>
            </w:pPr>
          </w:p>
        </w:tc>
      </w:tr>
      <w:tr w:rsidR="00FC0F86" w:rsidTr="00FC0F86">
        <w:tc>
          <w:tcPr>
            <w:tcW w:w="2978" w:type="dxa"/>
          </w:tcPr>
          <w:p w:rsidR="00A8606F" w:rsidRPr="00A8606F" w:rsidRDefault="00A8606F" w:rsidP="007939D0">
            <w:pPr>
              <w:jc w:val="both"/>
              <w:rPr>
                <w:rFonts w:ascii="Arial" w:hAnsi="Arial" w:cs="Arial"/>
                <w:b/>
                <w:bCs/>
                <w:sz w:val="20"/>
                <w:szCs w:val="20"/>
              </w:rPr>
            </w:pPr>
            <w:bookmarkStart w:id="4" w:name="_Hlk134104733"/>
            <w:r w:rsidRPr="00A8606F">
              <w:rPr>
                <w:rFonts w:ascii="Arial" w:hAnsi="Arial" w:cs="Arial"/>
                <w:sz w:val="20"/>
                <w:szCs w:val="20"/>
              </w:rPr>
              <w:t xml:space="preserve">Modificación de </w:t>
            </w:r>
            <w:r w:rsidR="007939D0">
              <w:rPr>
                <w:rFonts w:ascii="Arial" w:hAnsi="Arial" w:cs="Arial"/>
                <w:sz w:val="20"/>
                <w:szCs w:val="20"/>
              </w:rPr>
              <w:t>las previsiones</w:t>
            </w:r>
          </w:p>
        </w:tc>
        <w:tc>
          <w:tcPr>
            <w:tcW w:w="1559" w:type="dxa"/>
          </w:tcPr>
          <w:p w:rsidR="00A8606F" w:rsidRPr="003C48E1" w:rsidRDefault="00A8606F" w:rsidP="00A8606F">
            <w:pPr>
              <w:jc w:val="right"/>
              <w:rPr>
                <w:rFonts w:ascii="Arial" w:hAnsi="Arial" w:cs="Arial"/>
                <w:bCs/>
              </w:rPr>
            </w:pPr>
          </w:p>
        </w:tc>
        <w:tc>
          <w:tcPr>
            <w:tcW w:w="4111" w:type="dxa"/>
          </w:tcPr>
          <w:p w:rsidR="00A8606F" w:rsidRPr="00A8606F" w:rsidRDefault="00A8606F" w:rsidP="00A8606F">
            <w:pPr>
              <w:rPr>
                <w:rFonts w:ascii="Arial" w:hAnsi="Arial" w:cs="Arial"/>
                <w:sz w:val="20"/>
                <w:szCs w:val="20"/>
              </w:rPr>
            </w:pPr>
            <w:r w:rsidRPr="00A8606F">
              <w:rPr>
                <w:rFonts w:ascii="Arial" w:hAnsi="Arial" w:cs="Arial"/>
                <w:sz w:val="20"/>
                <w:szCs w:val="20"/>
              </w:rPr>
              <w:t>Modificaciones de créditos</w:t>
            </w:r>
          </w:p>
        </w:tc>
        <w:tc>
          <w:tcPr>
            <w:tcW w:w="1559" w:type="dxa"/>
          </w:tcPr>
          <w:p w:rsidR="00A8606F" w:rsidRPr="003C48E1" w:rsidRDefault="00A8606F" w:rsidP="00A8606F">
            <w:pPr>
              <w:jc w:val="right"/>
              <w:rPr>
                <w:rFonts w:ascii="Arial" w:hAnsi="Arial" w:cs="Arial"/>
                <w:bCs/>
              </w:rPr>
            </w:pPr>
          </w:p>
        </w:tc>
      </w:tr>
      <w:tr w:rsidR="00FC0F86" w:rsidTr="00FC0F86">
        <w:tc>
          <w:tcPr>
            <w:tcW w:w="2978" w:type="dxa"/>
          </w:tcPr>
          <w:p w:rsidR="00A8606F" w:rsidRPr="00A8606F" w:rsidRDefault="00A8606F" w:rsidP="00A8606F">
            <w:pPr>
              <w:jc w:val="both"/>
              <w:rPr>
                <w:rFonts w:ascii="Arial" w:hAnsi="Arial" w:cs="Arial"/>
                <w:b/>
                <w:bCs/>
                <w:sz w:val="20"/>
                <w:szCs w:val="20"/>
              </w:rPr>
            </w:pPr>
            <w:r w:rsidRPr="00A8606F">
              <w:rPr>
                <w:rFonts w:ascii="Arial" w:hAnsi="Arial" w:cs="Arial"/>
                <w:sz w:val="20"/>
                <w:szCs w:val="20"/>
              </w:rPr>
              <w:t>Previsiones definitivas</w:t>
            </w:r>
          </w:p>
        </w:tc>
        <w:tc>
          <w:tcPr>
            <w:tcW w:w="1559" w:type="dxa"/>
          </w:tcPr>
          <w:p w:rsidR="00A8606F" w:rsidRPr="003C48E1" w:rsidRDefault="00A8606F" w:rsidP="00A8606F">
            <w:pPr>
              <w:jc w:val="right"/>
              <w:rPr>
                <w:rFonts w:ascii="Arial" w:hAnsi="Arial" w:cs="Arial"/>
                <w:bCs/>
              </w:rPr>
            </w:pPr>
          </w:p>
        </w:tc>
        <w:tc>
          <w:tcPr>
            <w:tcW w:w="4111" w:type="dxa"/>
          </w:tcPr>
          <w:p w:rsidR="00A8606F" w:rsidRPr="00A8606F" w:rsidRDefault="00A8606F" w:rsidP="00A8606F">
            <w:pPr>
              <w:rPr>
                <w:rFonts w:ascii="Arial" w:hAnsi="Arial" w:cs="Arial"/>
                <w:sz w:val="20"/>
                <w:szCs w:val="20"/>
              </w:rPr>
            </w:pPr>
            <w:r w:rsidRPr="00A8606F">
              <w:rPr>
                <w:rFonts w:ascii="Arial" w:hAnsi="Arial" w:cs="Arial"/>
                <w:sz w:val="20"/>
                <w:szCs w:val="20"/>
              </w:rPr>
              <w:t>Créditos definitivos</w:t>
            </w:r>
          </w:p>
        </w:tc>
        <w:tc>
          <w:tcPr>
            <w:tcW w:w="1559" w:type="dxa"/>
          </w:tcPr>
          <w:p w:rsidR="00A8606F" w:rsidRPr="003C48E1" w:rsidRDefault="00A8606F" w:rsidP="00A8606F">
            <w:pPr>
              <w:jc w:val="right"/>
              <w:rPr>
                <w:rFonts w:ascii="Arial" w:hAnsi="Arial" w:cs="Arial"/>
                <w:bCs/>
              </w:rPr>
            </w:pPr>
          </w:p>
        </w:tc>
      </w:tr>
      <w:bookmarkEnd w:id="4"/>
      <w:tr w:rsidR="00FC0F86" w:rsidTr="00FC0F86">
        <w:tc>
          <w:tcPr>
            <w:tcW w:w="2978" w:type="dxa"/>
          </w:tcPr>
          <w:p w:rsidR="00A8606F" w:rsidRPr="00A8606F" w:rsidRDefault="00A8606F" w:rsidP="007939D0">
            <w:pPr>
              <w:jc w:val="both"/>
              <w:rPr>
                <w:rFonts w:ascii="Arial" w:hAnsi="Arial" w:cs="Arial"/>
                <w:b/>
                <w:bCs/>
                <w:sz w:val="20"/>
                <w:szCs w:val="20"/>
              </w:rPr>
            </w:pPr>
            <w:r w:rsidRPr="00A8606F">
              <w:rPr>
                <w:rFonts w:ascii="Arial" w:hAnsi="Arial" w:cs="Arial"/>
                <w:sz w:val="20"/>
                <w:szCs w:val="20"/>
              </w:rPr>
              <w:t>Derechos reconocidos</w:t>
            </w:r>
          </w:p>
        </w:tc>
        <w:tc>
          <w:tcPr>
            <w:tcW w:w="1559" w:type="dxa"/>
          </w:tcPr>
          <w:p w:rsidR="00A8606F" w:rsidRPr="003C48E1" w:rsidRDefault="00A8606F" w:rsidP="00A8606F">
            <w:pPr>
              <w:jc w:val="right"/>
              <w:rPr>
                <w:rFonts w:ascii="Arial" w:hAnsi="Arial" w:cs="Arial"/>
                <w:bCs/>
              </w:rPr>
            </w:pPr>
          </w:p>
        </w:tc>
        <w:tc>
          <w:tcPr>
            <w:tcW w:w="4111" w:type="dxa"/>
          </w:tcPr>
          <w:p w:rsidR="00A8606F" w:rsidRPr="00A8606F" w:rsidRDefault="00A8606F" w:rsidP="00A8606F">
            <w:pPr>
              <w:rPr>
                <w:rFonts w:ascii="Arial" w:hAnsi="Arial" w:cs="Arial"/>
                <w:sz w:val="20"/>
                <w:szCs w:val="20"/>
              </w:rPr>
            </w:pPr>
            <w:r w:rsidRPr="00A8606F">
              <w:rPr>
                <w:rFonts w:ascii="Arial" w:hAnsi="Arial" w:cs="Arial"/>
                <w:sz w:val="20"/>
                <w:szCs w:val="20"/>
              </w:rPr>
              <w:t>Gastos comprometidos</w:t>
            </w:r>
          </w:p>
        </w:tc>
        <w:tc>
          <w:tcPr>
            <w:tcW w:w="1559" w:type="dxa"/>
          </w:tcPr>
          <w:p w:rsidR="00A8606F" w:rsidRPr="003C48E1" w:rsidRDefault="00A8606F" w:rsidP="00A8606F">
            <w:pPr>
              <w:jc w:val="right"/>
              <w:rPr>
                <w:rFonts w:ascii="Arial" w:hAnsi="Arial" w:cs="Arial"/>
                <w:bCs/>
              </w:rPr>
            </w:pPr>
          </w:p>
        </w:tc>
      </w:tr>
      <w:tr w:rsidR="00FC0F86" w:rsidTr="00FC0F86">
        <w:tc>
          <w:tcPr>
            <w:tcW w:w="2978" w:type="dxa"/>
          </w:tcPr>
          <w:p w:rsidR="00A8606F" w:rsidRPr="00A8606F" w:rsidRDefault="007939D0" w:rsidP="007939D0">
            <w:pPr>
              <w:jc w:val="both"/>
              <w:rPr>
                <w:rFonts w:ascii="Arial" w:hAnsi="Arial" w:cs="Arial"/>
                <w:b/>
                <w:bCs/>
                <w:sz w:val="20"/>
                <w:szCs w:val="20"/>
              </w:rPr>
            </w:pPr>
            <w:r>
              <w:rPr>
                <w:rFonts w:ascii="Arial" w:hAnsi="Arial" w:cs="Arial"/>
                <w:sz w:val="20"/>
                <w:szCs w:val="20"/>
              </w:rPr>
              <w:t>Derechos anulados</w:t>
            </w:r>
          </w:p>
        </w:tc>
        <w:tc>
          <w:tcPr>
            <w:tcW w:w="1559" w:type="dxa"/>
          </w:tcPr>
          <w:p w:rsidR="00A8606F" w:rsidRPr="003C48E1" w:rsidRDefault="00A8606F" w:rsidP="00A8606F">
            <w:pPr>
              <w:jc w:val="right"/>
              <w:rPr>
                <w:rFonts w:ascii="Arial" w:hAnsi="Arial" w:cs="Arial"/>
                <w:bCs/>
              </w:rPr>
            </w:pPr>
          </w:p>
        </w:tc>
        <w:tc>
          <w:tcPr>
            <w:tcW w:w="4111" w:type="dxa"/>
          </w:tcPr>
          <w:p w:rsidR="00A8606F" w:rsidRPr="00A8606F" w:rsidRDefault="00A8606F" w:rsidP="00A8606F">
            <w:pPr>
              <w:rPr>
                <w:rFonts w:ascii="Arial" w:hAnsi="Arial" w:cs="Arial"/>
                <w:sz w:val="20"/>
                <w:szCs w:val="20"/>
              </w:rPr>
            </w:pPr>
            <w:r w:rsidRPr="00A8606F">
              <w:rPr>
                <w:rFonts w:ascii="Arial" w:hAnsi="Arial" w:cs="Arial"/>
                <w:sz w:val="20"/>
                <w:szCs w:val="20"/>
              </w:rPr>
              <w:t>Obligaciones reconocidas netas</w:t>
            </w:r>
          </w:p>
        </w:tc>
        <w:tc>
          <w:tcPr>
            <w:tcW w:w="1559" w:type="dxa"/>
          </w:tcPr>
          <w:p w:rsidR="00A8606F" w:rsidRPr="003C48E1" w:rsidRDefault="00A8606F" w:rsidP="00A8606F">
            <w:pPr>
              <w:jc w:val="right"/>
              <w:rPr>
                <w:rFonts w:ascii="Arial" w:hAnsi="Arial" w:cs="Arial"/>
                <w:bCs/>
              </w:rPr>
            </w:pPr>
          </w:p>
        </w:tc>
      </w:tr>
      <w:tr w:rsidR="00FC0F86" w:rsidTr="00FC0F86">
        <w:tc>
          <w:tcPr>
            <w:tcW w:w="2978" w:type="dxa"/>
          </w:tcPr>
          <w:p w:rsidR="00A8606F" w:rsidRPr="00A8606F" w:rsidRDefault="00A8606F" w:rsidP="00A8606F">
            <w:pPr>
              <w:jc w:val="both"/>
              <w:rPr>
                <w:rFonts w:ascii="Arial" w:hAnsi="Arial" w:cs="Arial"/>
                <w:b/>
                <w:bCs/>
                <w:sz w:val="20"/>
                <w:szCs w:val="20"/>
              </w:rPr>
            </w:pPr>
            <w:r w:rsidRPr="00A8606F">
              <w:rPr>
                <w:rFonts w:ascii="Arial" w:hAnsi="Arial" w:cs="Arial"/>
                <w:sz w:val="20"/>
                <w:szCs w:val="20"/>
              </w:rPr>
              <w:t>Derechos cancelados</w:t>
            </w:r>
          </w:p>
        </w:tc>
        <w:tc>
          <w:tcPr>
            <w:tcW w:w="1559" w:type="dxa"/>
          </w:tcPr>
          <w:p w:rsidR="00A8606F" w:rsidRPr="003C48E1" w:rsidRDefault="00A8606F" w:rsidP="00A8606F">
            <w:pPr>
              <w:jc w:val="right"/>
              <w:rPr>
                <w:rFonts w:ascii="Arial" w:hAnsi="Arial" w:cs="Arial"/>
                <w:bCs/>
              </w:rPr>
            </w:pPr>
          </w:p>
        </w:tc>
        <w:tc>
          <w:tcPr>
            <w:tcW w:w="4111" w:type="dxa"/>
          </w:tcPr>
          <w:p w:rsidR="00A8606F" w:rsidRPr="00A8606F" w:rsidRDefault="00A8606F" w:rsidP="00A8606F">
            <w:pPr>
              <w:rPr>
                <w:rFonts w:ascii="Arial" w:hAnsi="Arial" w:cs="Arial"/>
                <w:sz w:val="20"/>
                <w:szCs w:val="20"/>
              </w:rPr>
            </w:pPr>
            <w:r w:rsidRPr="00A8606F">
              <w:rPr>
                <w:rFonts w:ascii="Arial" w:hAnsi="Arial" w:cs="Arial"/>
                <w:sz w:val="20"/>
                <w:szCs w:val="20"/>
              </w:rPr>
              <w:t>Pagos líquidos</w:t>
            </w:r>
          </w:p>
        </w:tc>
        <w:tc>
          <w:tcPr>
            <w:tcW w:w="1559" w:type="dxa"/>
          </w:tcPr>
          <w:p w:rsidR="00A8606F" w:rsidRPr="003C48E1" w:rsidRDefault="00A8606F" w:rsidP="00A8606F">
            <w:pPr>
              <w:jc w:val="right"/>
              <w:rPr>
                <w:rFonts w:ascii="Arial" w:hAnsi="Arial" w:cs="Arial"/>
                <w:bCs/>
              </w:rPr>
            </w:pPr>
          </w:p>
        </w:tc>
      </w:tr>
      <w:tr w:rsidR="00FC0F86" w:rsidTr="00FC0F86">
        <w:tc>
          <w:tcPr>
            <w:tcW w:w="2978" w:type="dxa"/>
          </w:tcPr>
          <w:p w:rsidR="00A8606F" w:rsidRPr="00A8606F" w:rsidRDefault="007939D0" w:rsidP="00A8606F">
            <w:pPr>
              <w:jc w:val="both"/>
              <w:rPr>
                <w:rFonts w:ascii="Arial" w:hAnsi="Arial" w:cs="Arial"/>
                <w:b/>
                <w:bCs/>
                <w:sz w:val="20"/>
                <w:szCs w:val="20"/>
              </w:rPr>
            </w:pPr>
            <w:r w:rsidRPr="00A8606F">
              <w:rPr>
                <w:rFonts w:ascii="Arial" w:hAnsi="Arial" w:cs="Arial"/>
                <w:sz w:val="20"/>
                <w:szCs w:val="20"/>
              </w:rPr>
              <w:t>Recaudación líquida</w:t>
            </w:r>
          </w:p>
        </w:tc>
        <w:tc>
          <w:tcPr>
            <w:tcW w:w="1559" w:type="dxa"/>
          </w:tcPr>
          <w:p w:rsidR="00A8606F" w:rsidRPr="003C48E1" w:rsidRDefault="00A8606F" w:rsidP="00A8606F">
            <w:pPr>
              <w:jc w:val="right"/>
              <w:rPr>
                <w:rFonts w:ascii="Arial" w:hAnsi="Arial" w:cs="Arial"/>
                <w:bCs/>
              </w:rPr>
            </w:pPr>
          </w:p>
        </w:tc>
        <w:tc>
          <w:tcPr>
            <w:tcW w:w="4111" w:type="dxa"/>
          </w:tcPr>
          <w:p w:rsidR="00A8606F" w:rsidRPr="00A8606F" w:rsidRDefault="00A8606F" w:rsidP="00A8606F">
            <w:pPr>
              <w:rPr>
                <w:rFonts w:ascii="Arial" w:hAnsi="Arial" w:cs="Arial"/>
                <w:sz w:val="20"/>
                <w:szCs w:val="20"/>
              </w:rPr>
            </w:pPr>
            <w:r w:rsidRPr="00A8606F">
              <w:rPr>
                <w:rFonts w:ascii="Arial" w:hAnsi="Arial" w:cs="Arial"/>
                <w:sz w:val="20"/>
                <w:szCs w:val="20"/>
              </w:rPr>
              <w:t xml:space="preserve">Remanentes de crédito </w:t>
            </w:r>
            <w:r>
              <w:rPr>
                <w:rFonts w:ascii="Arial" w:hAnsi="Arial" w:cs="Arial"/>
                <w:sz w:val="20"/>
                <w:szCs w:val="20"/>
              </w:rPr>
              <w:t>c</w:t>
            </w:r>
            <w:r w:rsidRPr="00A8606F">
              <w:rPr>
                <w:rFonts w:ascii="Arial" w:hAnsi="Arial" w:cs="Arial"/>
                <w:sz w:val="20"/>
                <w:szCs w:val="20"/>
              </w:rPr>
              <w:t>omprometidos</w:t>
            </w:r>
          </w:p>
        </w:tc>
        <w:tc>
          <w:tcPr>
            <w:tcW w:w="1559" w:type="dxa"/>
          </w:tcPr>
          <w:p w:rsidR="00A8606F" w:rsidRPr="003C48E1" w:rsidRDefault="00A8606F" w:rsidP="00A8606F">
            <w:pPr>
              <w:jc w:val="right"/>
              <w:rPr>
                <w:rFonts w:ascii="Arial" w:hAnsi="Arial" w:cs="Arial"/>
                <w:bCs/>
              </w:rPr>
            </w:pPr>
          </w:p>
        </w:tc>
      </w:tr>
      <w:tr w:rsidR="00FC0F86" w:rsidTr="00FC0F86">
        <w:tc>
          <w:tcPr>
            <w:tcW w:w="2978" w:type="dxa"/>
          </w:tcPr>
          <w:p w:rsidR="00A8606F" w:rsidRPr="007939D0" w:rsidRDefault="007939D0" w:rsidP="00A8606F">
            <w:pPr>
              <w:jc w:val="both"/>
              <w:rPr>
                <w:rFonts w:ascii="Arial" w:hAnsi="Arial" w:cs="Arial"/>
                <w:bCs/>
                <w:sz w:val="20"/>
                <w:szCs w:val="20"/>
              </w:rPr>
            </w:pPr>
            <w:r>
              <w:rPr>
                <w:rFonts w:ascii="Arial" w:hAnsi="Arial" w:cs="Arial"/>
                <w:bCs/>
                <w:sz w:val="20"/>
                <w:szCs w:val="20"/>
              </w:rPr>
              <w:t>Derechos pendiente</w:t>
            </w:r>
            <w:r w:rsidRPr="007939D0">
              <w:rPr>
                <w:rFonts w:ascii="Arial" w:hAnsi="Arial" w:cs="Arial"/>
                <w:bCs/>
                <w:sz w:val="20"/>
                <w:szCs w:val="20"/>
              </w:rPr>
              <w:t>s de cobro</w:t>
            </w:r>
          </w:p>
        </w:tc>
        <w:tc>
          <w:tcPr>
            <w:tcW w:w="1559" w:type="dxa"/>
          </w:tcPr>
          <w:p w:rsidR="00A8606F" w:rsidRPr="003C48E1" w:rsidRDefault="00A8606F" w:rsidP="00A8606F">
            <w:pPr>
              <w:jc w:val="right"/>
              <w:rPr>
                <w:rFonts w:ascii="Arial" w:hAnsi="Arial" w:cs="Arial"/>
                <w:bCs/>
              </w:rPr>
            </w:pPr>
          </w:p>
        </w:tc>
        <w:tc>
          <w:tcPr>
            <w:tcW w:w="4111" w:type="dxa"/>
          </w:tcPr>
          <w:p w:rsidR="00A8606F" w:rsidRPr="00A8606F" w:rsidRDefault="00A8606F" w:rsidP="00A8606F">
            <w:pPr>
              <w:rPr>
                <w:rFonts w:ascii="Arial" w:hAnsi="Arial" w:cs="Arial"/>
                <w:sz w:val="20"/>
                <w:szCs w:val="20"/>
              </w:rPr>
            </w:pPr>
            <w:r w:rsidRPr="00A8606F">
              <w:rPr>
                <w:rFonts w:ascii="Arial" w:hAnsi="Arial" w:cs="Arial"/>
                <w:sz w:val="20"/>
                <w:szCs w:val="20"/>
              </w:rPr>
              <w:t xml:space="preserve">Remanentes de crédito no </w:t>
            </w:r>
            <w:r>
              <w:rPr>
                <w:rFonts w:ascii="Arial" w:hAnsi="Arial" w:cs="Arial"/>
                <w:sz w:val="20"/>
                <w:szCs w:val="20"/>
              </w:rPr>
              <w:t>c</w:t>
            </w:r>
            <w:r w:rsidRPr="00A8606F">
              <w:rPr>
                <w:rFonts w:ascii="Arial" w:hAnsi="Arial" w:cs="Arial"/>
                <w:sz w:val="20"/>
                <w:szCs w:val="20"/>
              </w:rPr>
              <w:t>omprometidos</w:t>
            </w:r>
          </w:p>
        </w:tc>
        <w:tc>
          <w:tcPr>
            <w:tcW w:w="1559" w:type="dxa"/>
          </w:tcPr>
          <w:p w:rsidR="00A8606F" w:rsidRPr="003C48E1" w:rsidRDefault="00A8606F" w:rsidP="00A8606F">
            <w:pPr>
              <w:jc w:val="right"/>
              <w:rPr>
                <w:rFonts w:ascii="Arial" w:hAnsi="Arial" w:cs="Arial"/>
                <w:bCs/>
              </w:rPr>
            </w:pPr>
          </w:p>
        </w:tc>
      </w:tr>
    </w:tbl>
    <w:p w:rsidR="00DD38C2" w:rsidRPr="000F4F48" w:rsidRDefault="00DD38C2" w:rsidP="00DD38C2">
      <w:pPr>
        <w:shd w:val="clear" w:color="auto" w:fill="FFFFFF" w:themeFill="background1"/>
        <w:ind w:firstLine="720"/>
        <w:jc w:val="both"/>
        <w:rPr>
          <w:rFonts w:ascii="Arial" w:hAnsi="Arial" w:cs="Arial"/>
          <w:b/>
          <w:bCs/>
          <w:sz w:val="22"/>
          <w:szCs w:val="22"/>
        </w:rPr>
      </w:pPr>
    </w:p>
    <w:p w:rsidR="00DD38C2" w:rsidRDefault="00DD38C2" w:rsidP="00DD38C2">
      <w:pPr>
        <w:shd w:val="clear" w:color="auto" w:fill="FFFFFF" w:themeFill="background1"/>
        <w:ind w:left="360" w:firstLine="720"/>
        <w:jc w:val="both"/>
        <w:rPr>
          <w:rFonts w:ascii="Arial" w:hAnsi="Arial" w:cs="Arial"/>
          <w:b/>
          <w:bCs/>
          <w:sz w:val="22"/>
          <w:szCs w:val="22"/>
        </w:rPr>
      </w:pPr>
    </w:p>
    <w:p w:rsidR="008C0F21" w:rsidRDefault="008C0F21" w:rsidP="008C0F21">
      <w:pPr>
        <w:widowControl w:val="0"/>
        <w:autoSpaceDE w:val="0"/>
        <w:autoSpaceDN w:val="0"/>
        <w:adjustRightInd w:val="0"/>
        <w:spacing w:line="240" w:lineRule="atLeast"/>
        <w:jc w:val="center"/>
        <w:rPr>
          <w:rFonts w:ascii="Arial" w:hAnsi="Arial"/>
          <w:b/>
          <w:sz w:val="22"/>
          <w:szCs w:val="22"/>
          <w:u w:val="single"/>
        </w:rPr>
      </w:pPr>
      <w:r w:rsidRPr="00D0292D">
        <w:rPr>
          <w:rFonts w:ascii="Arial" w:hAnsi="Arial"/>
          <w:b/>
          <w:sz w:val="22"/>
          <w:szCs w:val="22"/>
          <w:u w:val="single"/>
        </w:rPr>
        <w:t>RESULTADO PREUPUESTARIO</w:t>
      </w:r>
    </w:p>
    <w:p w:rsidR="005C0105" w:rsidRDefault="005C0105" w:rsidP="008C0F21">
      <w:pPr>
        <w:widowControl w:val="0"/>
        <w:autoSpaceDE w:val="0"/>
        <w:autoSpaceDN w:val="0"/>
        <w:adjustRightInd w:val="0"/>
        <w:spacing w:line="240" w:lineRule="atLeast"/>
        <w:jc w:val="center"/>
        <w:rPr>
          <w:rFonts w:ascii="Arial" w:hAnsi="Arial"/>
          <w:b/>
          <w:sz w:val="22"/>
          <w:szCs w:val="22"/>
          <w:u w:val="single"/>
        </w:rPr>
      </w:pPr>
    </w:p>
    <w:tbl>
      <w:tblPr>
        <w:tblpPr w:leftFromText="141" w:rightFromText="141" w:vertAnchor="text" w:horzAnchor="margin" w:tblpXSpec="center" w:tblpY="7"/>
        <w:tblW w:w="1017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077"/>
        <w:gridCol w:w="1560"/>
        <w:gridCol w:w="1559"/>
        <w:gridCol w:w="1276"/>
        <w:gridCol w:w="1701"/>
      </w:tblGrid>
      <w:tr w:rsidR="00C64099" w:rsidRPr="00F87BCD" w:rsidTr="00D402B5">
        <w:trPr>
          <w:jc w:val="center"/>
        </w:trPr>
        <w:tc>
          <w:tcPr>
            <w:tcW w:w="4077" w:type="dxa"/>
            <w:tcBorders>
              <w:top w:val="single" w:sz="4" w:space="0" w:color="auto"/>
              <w:bottom w:val="single" w:sz="6" w:space="0" w:color="auto"/>
            </w:tcBorders>
            <w:shd w:val="clear" w:color="auto" w:fill="FFFFFF"/>
          </w:tcPr>
          <w:p w:rsidR="00C64099" w:rsidRPr="005C0105" w:rsidRDefault="00C64099" w:rsidP="00D402B5">
            <w:pPr>
              <w:widowControl w:val="0"/>
              <w:autoSpaceDE w:val="0"/>
              <w:autoSpaceDN w:val="0"/>
              <w:adjustRightInd w:val="0"/>
              <w:spacing w:line="240" w:lineRule="atLeast"/>
              <w:jc w:val="center"/>
              <w:rPr>
                <w:rFonts w:ascii="Arial" w:hAnsi="Arial" w:cs="Arial"/>
                <w:b/>
                <w:sz w:val="17"/>
                <w:szCs w:val="17"/>
              </w:rPr>
            </w:pPr>
            <w:r w:rsidRPr="005C0105">
              <w:rPr>
                <w:rFonts w:ascii="Arial" w:hAnsi="Arial" w:cs="Arial"/>
                <w:b/>
                <w:sz w:val="17"/>
                <w:szCs w:val="17"/>
              </w:rPr>
              <w:t>CONCEPTOS</w:t>
            </w:r>
          </w:p>
        </w:tc>
        <w:tc>
          <w:tcPr>
            <w:tcW w:w="1560" w:type="dxa"/>
            <w:tcBorders>
              <w:top w:val="single" w:sz="4" w:space="0" w:color="auto"/>
              <w:bottom w:val="single" w:sz="4" w:space="0" w:color="auto"/>
            </w:tcBorders>
            <w:shd w:val="clear" w:color="auto" w:fill="FFFFFF"/>
          </w:tcPr>
          <w:p w:rsidR="00C64099" w:rsidRPr="005C0105" w:rsidRDefault="00C64099" w:rsidP="00D402B5">
            <w:pPr>
              <w:widowControl w:val="0"/>
              <w:autoSpaceDE w:val="0"/>
              <w:autoSpaceDN w:val="0"/>
              <w:adjustRightInd w:val="0"/>
              <w:spacing w:line="240" w:lineRule="atLeast"/>
              <w:jc w:val="center"/>
              <w:rPr>
                <w:rFonts w:ascii="Arial" w:hAnsi="Arial" w:cs="Arial"/>
                <w:b/>
                <w:caps/>
                <w:sz w:val="17"/>
                <w:szCs w:val="17"/>
              </w:rPr>
            </w:pPr>
            <w:r w:rsidRPr="005C0105">
              <w:rPr>
                <w:rFonts w:ascii="Arial" w:hAnsi="Arial" w:cs="Arial"/>
                <w:b/>
                <w:caps/>
                <w:sz w:val="17"/>
                <w:szCs w:val="17"/>
              </w:rPr>
              <w:t>Derechos</w:t>
            </w:r>
          </w:p>
          <w:p w:rsidR="00C64099" w:rsidRPr="005C0105" w:rsidRDefault="00C64099" w:rsidP="00D402B5">
            <w:pPr>
              <w:widowControl w:val="0"/>
              <w:autoSpaceDE w:val="0"/>
              <w:autoSpaceDN w:val="0"/>
              <w:adjustRightInd w:val="0"/>
              <w:spacing w:line="240" w:lineRule="atLeast"/>
              <w:jc w:val="center"/>
              <w:rPr>
                <w:rFonts w:ascii="Arial" w:hAnsi="Arial" w:cs="Arial"/>
                <w:b/>
                <w:caps/>
                <w:sz w:val="17"/>
                <w:szCs w:val="17"/>
              </w:rPr>
            </w:pPr>
            <w:r w:rsidRPr="005C0105">
              <w:rPr>
                <w:rFonts w:ascii="Arial" w:hAnsi="Arial" w:cs="Arial"/>
                <w:b/>
                <w:caps/>
                <w:sz w:val="17"/>
                <w:szCs w:val="17"/>
              </w:rPr>
              <w:t>Reconocidos</w:t>
            </w:r>
          </w:p>
          <w:p w:rsidR="00C64099" w:rsidRPr="005C0105" w:rsidRDefault="00C64099" w:rsidP="00D402B5">
            <w:pPr>
              <w:widowControl w:val="0"/>
              <w:autoSpaceDE w:val="0"/>
              <w:autoSpaceDN w:val="0"/>
              <w:adjustRightInd w:val="0"/>
              <w:spacing w:line="240" w:lineRule="atLeast"/>
              <w:jc w:val="center"/>
              <w:rPr>
                <w:rFonts w:ascii="Arial" w:hAnsi="Arial" w:cs="Arial"/>
                <w:b/>
                <w:sz w:val="17"/>
                <w:szCs w:val="17"/>
              </w:rPr>
            </w:pPr>
            <w:r w:rsidRPr="005C0105">
              <w:rPr>
                <w:rFonts w:ascii="Arial" w:hAnsi="Arial" w:cs="Arial"/>
                <w:b/>
                <w:caps/>
                <w:sz w:val="17"/>
                <w:szCs w:val="17"/>
              </w:rPr>
              <w:t>netos</w:t>
            </w:r>
            <w:r w:rsidRPr="005C0105">
              <w:rPr>
                <w:rFonts w:ascii="Arial" w:hAnsi="Arial" w:cs="Arial"/>
                <w:b/>
                <w:sz w:val="17"/>
                <w:szCs w:val="17"/>
              </w:rPr>
              <w:t xml:space="preserve"> </w:t>
            </w:r>
          </w:p>
        </w:tc>
        <w:tc>
          <w:tcPr>
            <w:tcW w:w="1559" w:type="dxa"/>
            <w:tcBorders>
              <w:top w:val="single" w:sz="4" w:space="0" w:color="auto"/>
              <w:bottom w:val="single" w:sz="4" w:space="0" w:color="auto"/>
            </w:tcBorders>
            <w:shd w:val="clear" w:color="auto" w:fill="FFFFFF"/>
          </w:tcPr>
          <w:p w:rsidR="00C64099" w:rsidRPr="005C0105" w:rsidRDefault="00C64099" w:rsidP="00D402B5">
            <w:pPr>
              <w:widowControl w:val="0"/>
              <w:autoSpaceDE w:val="0"/>
              <w:autoSpaceDN w:val="0"/>
              <w:adjustRightInd w:val="0"/>
              <w:spacing w:line="240" w:lineRule="atLeast"/>
              <w:jc w:val="center"/>
              <w:rPr>
                <w:rFonts w:ascii="Arial" w:hAnsi="Arial" w:cs="Arial"/>
                <w:b/>
                <w:caps/>
                <w:sz w:val="17"/>
                <w:szCs w:val="17"/>
              </w:rPr>
            </w:pPr>
            <w:r w:rsidRPr="005C0105">
              <w:rPr>
                <w:rFonts w:ascii="Arial" w:hAnsi="Arial" w:cs="Arial"/>
                <w:b/>
                <w:caps/>
                <w:sz w:val="17"/>
                <w:szCs w:val="17"/>
              </w:rPr>
              <w:t>Obligaciones</w:t>
            </w:r>
          </w:p>
          <w:p w:rsidR="00C64099" w:rsidRPr="005C0105" w:rsidRDefault="00C64099" w:rsidP="00D402B5">
            <w:pPr>
              <w:widowControl w:val="0"/>
              <w:autoSpaceDE w:val="0"/>
              <w:autoSpaceDN w:val="0"/>
              <w:adjustRightInd w:val="0"/>
              <w:spacing w:line="240" w:lineRule="atLeast"/>
              <w:jc w:val="center"/>
              <w:rPr>
                <w:rFonts w:ascii="Arial" w:hAnsi="Arial" w:cs="Arial"/>
                <w:b/>
                <w:caps/>
                <w:sz w:val="17"/>
                <w:szCs w:val="17"/>
              </w:rPr>
            </w:pPr>
            <w:r w:rsidRPr="005C0105">
              <w:rPr>
                <w:rFonts w:ascii="Arial" w:hAnsi="Arial" w:cs="Arial"/>
                <w:b/>
                <w:caps/>
                <w:sz w:val="17"/>
                <w:szCs w:val="17"/>
              </w:rPr>
              <w:t>reconocidas</w:t>
            </w:r>
          </w:p>
          <w:p w:rsidR="00C64099" w:rsidRPr="005C0105" w:rsidRDefault="00C64099" w:rsidP="00D402B5">
            <w:pPr>
              <w:widowControl w:val="0"/>
              <w:autoSpaceDE w:val="0"/>
              <w:autoSpaceDN w:val="0"/>
              <w:adjustRightInd w:val="0"/>
              <w:spacing w:line="240" w:lineRule="atLeast"/>
              <w:jc w:val="center"/>
              <w:rPr>
                <w:rFonts w:ascii="Arial" w:hAnsi="Arial" w:cs="Arial"/>
                <w:b/>
                <w:sz w:val="17"/>
                <w:szCs w:val="17"/>
              </w:rPr>
            </w:pPr>
            <w:r w:rsidRPr="005C0105">
              <w:rPr>
                <w:rFonts w:ascii="Arial" w:hAnsi="Arial" w:cs="Arial"/>
                <w:b/>
                <w:caps/>
                <w:sz w:val="17"/>
                <w:szCs w:val="17"/>
              </w:rPr>
              <w:t>netas</w:t>
            </w:r>
          </w:p>
        </w:tc>
        <w:tc>
          <w:tcPr>
            <w:tcW w:w="1276" w:type="dxa"/>
            <w:tcBorders>
              <w:top w:val="single" w:sz="4" w:space="0" w:color="auto"/>
              <w:bottom w:val="single" w:sz="6" w:space="0" w:color="auto"/>
            </w:tcBorders>
            <w:shd w:val="clear" w:color="auto" w:fill="FFFFFF"/>
          </w:tcPr>
          <w:p w:rsidR="00C64099" w:rsidRPr="005C0105" w:rsidRDefault="00C64099" w:rsidP="00D402B5">
            <w:pPr>
              <w:widowControl w:val="0"/>
              <w:autoSpaceDE w:val="0"/>
              <w:autoSpaceDN w:val="0"/>
              <w:adjustRightInd w:val="0"/>
              <w:spacing w:line="240" w:lineRule="atLeast"/>
              <w:jc w:val="center"/>
              <w:rPr>
                <w:rFonts w:ascii="Arial" w:hAnsi="Arial" w:cs="Arial"/>
                <w:b/>
                <w:caps/>
                <w:sz w:val="17"/>
                <w:szCs w:val="17"/>
              </w:rPr>
            </w:pPr>
            <w:r w:rsidRPr="005C0105">
              <w:rPr>
                <w:rFonts w:ascii="Arial" w:hAnsi="Arial" w:cs="Arial"/>
                <w:b/>
                <w:caps/>
                <w:sz w:val="17"/>
                <w:szCs w:val="17"/>
              </w:rPr>
              <w:t>Ajustes</w:t>
            </w:r>
          </w:p>
        </w:tc>
        <w:tc>
          <w:tcPr>
            <w:tcW w:w="1701" w:type="dxa"/>
            <w:tcBorders>
              <w:top w:val="single" w:sz="4" w:space="0" w:color="auto"/>
              <w:bottom w:val="single" w:sz="4" w:space="0" w:color="auto"/>
            </w:tcBorders>
            <w:shd w:val="clear" w:color="auto" w:fill="FFFFFF"/>
          </w:tcPr>
          <w:p w:rsidR="00C64099" w:rsidRPr="005C0105" w:rsidRDefault="00C64099" w:rsidP="00D402B5">
            <w:pPr>
              <w:widowControl w:val="0"/>
              <w:autoSpaceDE w:val="0"/>
              <w:autoSpaceDN w:val="0"/>
              <w:adjustRightInd w:val="0"/>
              <w:spacing w:line="240" w:lineRule="atLeast"/>
              <w:jc w:val="center"/>
              <w:rPr>
                <w:rFonts w:ascii="Arial" w:hAnsi="Arial" w:cs="Arial"/>
                <w:b/>
                <w:sz w:val="17"/>
                <w:szCs w:val="17"/>
              </w:rPr>
            </w:pPr>
            <w:r w:rsidRPr="005C0105">
              <w:rPr>
                <w:rFonts w:ascii="Arial" w:hAnsi="Arial" w:cs="Arial"/>
                <w:b/>
                <w:sz w:val="17"/>
                <w:szCs w:val="17"/>
              </w:rPr>
              <w:t xml:space="preserve">RESULTADO </w:t>
            </w:r>
          </w:p>
          <w:p w:rsidR="00C64099" w:rsidRPr="005C0105" w:rsidRDefault="00C64099" w:rsidP="00D402B5">
            <w:pPr>
              <w:widowControl w:val="0"/>
              <w:autoSpaceDE w:val="0"/>
              <w:autoSpaceDN w:val="0"/>
              <w:adjustRightInd w:val="0"/>
              <w:spacing w:line="240" w:lineRule="atLeast"/>
              <w:ind w:left="-108" w:right="-108"/>
              <w:jc w:val="center"/>
              <w:rPr>
                <w:rFonts w:ascii="Arial" w:hAnsi="Arial" w:cs="Arial"/>
                <w:b/>
                <w:sz w:val="17"/>
                <w:szCs w:val="17"/>
              </w:rPr>
            </w:pPr>
            <w:r w:rsidRPr="005C0105">
              <w:rPr>
                <w:rFonts w:ascii="Arial" w:hAnsi="Arial" w:cs="Arial"/>
                <w:b/>
                <w:sz w:val="17"/>
                <w:szCs w:val="17"/>
              </w:rPr>
              <w:t>PRESUPUESTARIO</w:t>
            </w:r>
          </w:p>
        </w:tc>
      </w:tr>
      <w:tr w:rsidR="00C64099" w:rsidRPr="00F87BCD" w:rsidTr="00D402B5">
        <w:trPr>
          <w:jc w:val="center"/>
        </w:trPr>
        <w:tc>
          <w:tcPr>
            <w:tcW w:w="4077" w:type="dxa"/>
            <w:tcBorders>
              <w:top w:val="single" w:sz="6" w:space="0" w:color="auto"/>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ind w:left="-142"/>
              <w:jc w:val="both"/>
              <w:rPr>
                <w:rFonts w:ascii="Arial" w:hAnsi="Arial" w:cs="Arial"/>
                <w:sz w:val="18"/>
                <w:szCs w:val="18"/>
              </w:rPr>
            </w:pPr>
            <w:r w:rsidRPr="006C4AB5">
              <w:rPr>
                <w:rFonts w:ascii="Arial" w:hAnsi="Arial" w:cs="Arial"/>
                <w:sz w:val="18"/>
                <w:szCs w:val="18"/>
              </w:rPr>
              <w:t xml:space="preserve">        a) Operaciones corrientes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276" w:type="dxa"/>
            <w:tcBorders>
              <w:top w:val="single" w:sz="6" w:space="0" w:color="auto"/>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r>
      <w:tr w:rsidR="00C64099" w:rsidRPr="00F87BCD" w:rsidTr="00D402B5">
        <w:trPr>
          <w:jc w:val="center"/>
        </w:trPr>
        <w:tc>
          <w:tcPr>
            <w:tcW w:w="4077"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ind w:left="-142"/>
              <w:jc w:val="both"/>
              <w:rPr>
                <w:rFonts w:ascii="Arial" w:hAnsi="Arial" w:cs="Arial"/>
                <w:sz w:val="18"/>
                <w:szCs w:val="18"/>
              </w:rPr>
            </w:pPr>
            <w:r w:rsidRPr="006C4AB5">
              <w:rPr>
                <w:rFonts w:ascii="Arial" w:hAnsi="Arial" w:cs="Arial"/>
                <w:sz w:val="18"/>
                <w:szCs w:val="18"/>
              </w:rPr>
              <w:t xml:space="preserve">        b) Otras operaciones no financieras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r>
      <w:tr w:rsidR="00C64099" w:rsidRPr="00F87BCD" w:rsidTr="00D402B5">
        <w:trPr>
          <w:jc w:val="center"/>
        </w:trPr>
        <w:tc>
          <w:tcPr>
            <w:tcW w:w="4077"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1.Total operaciones no financieras (a+b)</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r>
      <w:tr w:rsidR="00C64099" w:rsidRPr="00F87BCD" w:rsidTr="00D402B5">
        <w:trPr>
          <w:jc w:val="center"/>
        </w:trPr>
        <w:tc>
          <w:tcPr>
            <w:tcW w:w="4077"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 xml:space="preserve">     c) Activos financieros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r>
      <w:tr w:rsidR="00C64099" w:rsidRPr="00F87BCD" w:rsidTr="00D402B5">
        <w:trPr>
          <w:jc w:val="center"/>
        </w:trPr>
        <w:tc>
          <w:tcPr>
            <w:tcW w:w="4077"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 xml:space="preserve">     d) Pasivos financieros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r>
      <w:tr w:rsidR="00C64099" w:rsidRPr="00F87BCD" w:rsidTr="00D402B5">
        <w:trPr>
          <w:jc w:val="center"/>
        </w:trPr>
        <w:tc>
          <w:tcPr>
            <w:tcW w:w="4077"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2. Total operaciones financieras (c+d)</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r>
      <w:tr w:rsidR="00C64099" w:rsidRPr="00F87BCD" w:rsidTr="00D402B5">
        <w:trPr>
          <w:jc w:val="center"/>
        </w:trPr>
        <w:tc>
          <w:tcPr>
            <w:tcW w:w="4077" w:type="dxa"/>
            <w:tcBorders>
              <w:top w:val="nil"/>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I. RESULTADO PRESUPUESTARIO DEL EJERCICIO (I=1+2)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jc w:val="right"/>
              <w:rPr>
                <w:rFonts w:ascii="Arial" w:hAnsi="Arial" w:cs="Arial"/>
                <w:sz w:val="18"/>
                <w:szCs w:val="18"/>
              </w:rPr>
            </w:pPr>
          </w:p>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r>
      <w:tr w:rsidR="00C64099" w:rsidRPr="00F87BCD" w:rsidTr="00D402B5">
        <w:trPr>
          <w:jc w:val="center"/>
        </w:trPr>
        <w:tc>
          <w:tcPr>
            <w:tcW w:w="4077" w:type="dxa"/>
            <w:tcBorders>
              <w:top w:val="single" w:sz="4" w:space="0" w:color="auto"/>
              <w:left w:val="single" w:sz="4" w:space="0" w:color="auto"/>
              <w:bottom w:val="nil"/>
              <w:right w:val="nil"/>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c>
          <w:tcPr>
            <w:tcW w:w="1560" w:type="dxa"/>
            <w:tcBorders>
              <w:top w:val="single" w:sz="4" w:space="0" w:color="auto"/>
              <w:left w:val="nil"/>
              <w:bottom w:val="nil"/>
              <w:right w:val="nil"/>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c>
          <w:tcPr>
            <w:tcW w:w="1559" w:type="dxa"/>
            <w:tcBorders>
              <w:top w:val="single" w:sz="4" w:space="0" w:color="auto"/>
              <w:left w:val="nil"/>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c>
          <w:tcPr>
            <w:tcW w:w="1276"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c>
          <w:tcPr>
            <w:tcW w:w="1701" w:type="dxa"/>
            <w:tcBorders>
              <w:top w:val="single" w:sz="4" w:space="0" w:color="auto"/>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r>
      <w:tr w:rsidR="00C64099" w:rsidRPr="00F87BCD" w:rsidTr="00D402B5">
        <w:trPr>
          <w:jc w:val="center"/>
        </w:trPr>
        <w:tc>
          <w:tcPr>
            <w:tcW w:w="5637" w:type="dxa"/>
            <w:gridSpan w:val="2"/>
            <w:tcBorders>
              <w:top w:val="nil"/>
              <w:left w:val="single" w:sz="4" w:space="0" w:color="auto"/>
              <w:bottom w:val="nil"/>
              <w:right w:val="nil"/>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u w:val="single"/>
              </w:rPr>
              <w:t>AJUSTES</w:t>
            </w:r>
          </w:p>
        </w:tc>
        <w:tc>
          <w:tcPr>
            <w:tcW w:w="1559" w:type="dxa"/>
            <w:tcBorders>
              <w:top w:val="nil"/>
              <w:left w:val="nil"/>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c>
          <w:tcPr>
            <w:tcW w:w="1701"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r>
      <w:tr w:rsidR="00C64099" w:rsidRPr="00F87BCD" w:rsidTr="00D402B5">
        <w:trPr>
          <w:trHeight w:val="309"/>
          <w:jc w:val="center"/>
        </w:trPr>
        <w:tc>
          <w:tcPr>
            <w:tcW w:w="7196" w:type="dxa"/>
            <w:gridSpan w:val="3"/>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3. Créditos gastados financiados con remanente de tesorería para gastos generales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r>
      <w:tr w:rsidR="00C64099" w:rsidRPr="00F87BCD" w:rsidTr="00D402B5">
        <w:trPr>
          <w:jc w:val="center"/>
        </w:trPr>
        <w:tc>
          <w:tcPr>
            <w:tcW w:w="7196" w:type="dxa"/>
            <w:gridSpan w:val="3"/>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4. Desviaciones de financiación negativas del ejercicio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r>
      <w:tr w:rsidR="00C64099" w:rsidRPr="00F87BCD" w:rsidTr="00D402B5">
        <w:trPr>
          <w:jc w:val="center"/>
        </w:trPr>
        <w:tc>
          <w:tcPr>
            <w:tcW w:w="7196" w:type="dxa"/>
            <w:gridSpan w:val="3"/>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5. Desviaciones de financiación positivas del ejercicio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r>
      <w:tr w:rsidR="00C64099" w:rsidRPr="00F87BCD" w:rsidTr="00D402B5">
        <w:trPr>
          <w:jc w:val="center"/>
        </w:trPr>
        <w:tc>
          <w:tcPr>
            <w:tcW w:w="7196" w:type="dxa"/>
            <w:gridSpan w:val="3"/>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II TOTAL AJUSTES (II=3+4-5)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c>
          <w:tcPr>
            <w:tcW w:w="1701" w:type="dxa"/>
            <w:tcBorders>
              <w:top w:val="nil"/>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r>
      <w:tr w:rsidR="00C64099" w:rsidRPr="00F87BCD" w:rsidTr="00D402B5">
        <w:trPr>
          <w:trHeight w:val="164"/>
          <w:jc w:val="center"/>
        </w:trPr>
        <w:tc>
          <w:tcPr>
            <w:tcW w:w="8472" w:type="dxa"/>
            <w:gridSpan w:val="4"/>
            <w:tcBorders>
              <w:top w:val="nil"/>
              <w:left w:val="single" w:sz="4" w:space="0" w:color="auto"/>
              <w:bottom w:val="nil"/>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p w:rsidR="00C64099" w:rsidRPr="006C4AB5" w:rsidRDefault="00C64099" w:rsidP="00D402B5">
            <w:pPr>
              <w:widowControl w:val="0"/>
              <w:autoSpaceDE w:val="0"/>
              <w:autoSpaceDN w:val="0"/>
              <w:adjustRightInd w:val="0"/>
              <w:spacing w:line="240" w:lineRule="atLeast"/>
              <w:jc w:val="right"/>
              <w:rPr>
                <w:rFonts w:ascii="Arial" w:hAnsi="Arial" w:cs="Arial"/>
                <w:sz w:val="18"/>
                <w:szCs w:val="18"/>
              </w:rPr>
            </w:pPr>
          </w:p>
        </w:tc>
      </w:tr>
      <w:tr w:rsidR="00C64099" w:rsidRPr="00F87BCD" w:rsidTr="00D402B5">
        <w:trPr>
          <w:jc w:val="center"/>
        </w:trPr>
        <w:tc>
          <w:tcPr>
            <w:tcW w:w="8472" w:type="dxa"/>
            <w:gridSpan w:val="4"/>
            <w:tcBorders>
              <w:top w:val="nil"/>
              <w:left w:val="single" w:sz="4" w:space="0" w:color="auto"/>
              <w:bottom w:val="single" w:sz="4" w:space="0" w:color="auto"/>
              <w:right w:val="single" w:sz="4" w:space="0" w:color="auto"/>
            </w:tcBorders>
            <w:shd w:val="clear" w:color="auto" w:fill="auto"/>
          </w:tcPr>
          <w:p w:rsidR="00C64099" w:rsidRPr="006C4AB5" w:rsidRDefault="00C64099" w:rsidP="00D402B5">
            <w:pPr>
              <w:widowControl w:val="0"/>
              <w:autoSpaceDE w:val="0"/>
              <w:autoSpaceDN w:val="0"/>
              <w:adjustRightInd w:val="0"/>
              <w:spacing w:line="240" w:lineRule="atLeast"/>
              <w:jc w:val="both"/>
              <w:rPr>
                <w:rFonts w:ascii="Arial" w:hAnsi="Arial" w:cs="Arial"/>
                <w:sz w:val="18"/>
                <w:szCs w:val="18"/>
              </w:rPr>
            </w:pPr>
            <w:r w:rsidRPr="006C4AB5">
              <w:rPr>
                <w:rFonts w:ascii="Arial" w:hAnsi="Arial" w:cs="Arial"/>
                <w:sz w:val="18"/>
                <w:szCs w:val="18"/>
              </w:rPr>
              <w:t>RESULTADO PRESUPUESTARIO AJUSTADO (I+II)</w:t>
            </w: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C64099" w:rsidRPr="0058056A" w:rsidRDefault="00C64099" w:rsidP="00D402B5">
            <w:pPr>
              <w:widowControl w:val="0"/>
              <w:autoSpaceDE w:val="0"/>
              <w:autoSpaceDN w:val="0"/>
              <w:adjustRightInd w:val="0"/>
              <w:spacing w:line="240" w:lineRule="atLeast"/>
              <w:jc w:val="both"/>
              <w:rPr>
                <w:rFonts w:ascii="Arial" w:hAnsi="Arial" w:cs="Arial"/>
                <w:sz w:val="20"/>
                <w:szCs w:val="20"/>
              </w:rPr>
            </w:pPr>
          </w:p>
        </w:tc>
      </w:tr>
    </w:tbl>
    <w:p w:rsidR="008C0F21" w:rsidRDefault="008C0F21" w:rsidP="008C0F21">
      <w:pPr>
        <w:widowControl w:val="0"/>
        <w:autoSpaceDE w:val="0"/>
        <w:autoSpaceDN w:val="0"/>
        <w:adjustRightInd w:val="0"/>
        <w:spacing w:line="240" w:lineRule="atLeast"/>
        <w:jc w:val="center"/>
        <w:rPr>
          <w:rFonts w:ascii="Arial" w:hAnsi="Arial" w:cs="Arial"/>
          <w:b/>
          <w:sz w:val="18"/>
          <w:szCs w:val="18"/>
          <w:u w:val="single"/>
        </w:rPr>
      </w:pPr>
    </w:p>
    <w:p w:rsidR="005C0105" w:rsidRDefault="005C0105" w:rsidP="008C0F21">
      <w:pPr>
        <w:widowControl w:val="0"/>
        <w:autoSpaceDE w:val="0"/>
        <w:autoSpaceDN w:val="0"/>
        <w:adjustRightInd w:val="0"/>
        <w:spacing w:line="240" w:lineRule="atLeast"/>
        <w:jc w:val="center"/>
        <w:rPr>
          <w:rFonts w:ascii="Arial" w:hAnsi="Arial" w:cs="Arial"/>
          <w:b/>
          <w:sz w:val="18"/>
          <w:szCs w:val="18"/>
          <w:u w:val="single"/>
        </w:rPr>
      </w:pPr>
    </w:p>
    <w:p w:rsidR="008C0F21" w:rsidRDefault="008C0F21" w:rsidP="008C0F21">
      <w:pPr>
        <w:widowControl w:val="0"/>
        <w:autoSpaceDE w:val="0"/>
        <w:autoSpaceDN w:val="0"/>
        <w:adjustRightInd w:val="0"/>
        <w:spacing w:line="240" w:lineRule="atLeast"/>
        <w:jc w:val="center"/>
        <w:rPr>
          <w:rFonts w:ascii="Arial" w:hAnsi="Arial"/>
          <w:b/>
          <w:sz w:val="22"/>
          <w:szCs w:val="22"/>
          <w:u w:val="single"/>
        </w:rPr>
      </w:pPr>
      <w:r w:rsidRPr="00D0292D">
        <w:rPr>
          <w:rFonts w:ascii="Arial" w:hAnsi="Arial"/>
          <w:b/>
          <w:sz w:val="22"/>
          <w:szCs w:val="22"/>
          <w:u w:val="single"/>
        </w:rPr>
        <w:t>REMANENTE DE TESORERIA</w:t>
      </w:r>
    </w:p>
    <w:p w:rsidR="005C0105" w:rsidRDefault="005C0105" w:rsidP="008C0F21">
      <w:pPr>
        <w:widowControl w:val="0"/>
        <w:autoSpaceDE w:val="0"/>
        <w:autoSpaceDN w:val="0"/>
        <w:adjustRightInd w:val="0"/>
        <w:spacing w:line="240" w:lineRule="atLeast"/>
        <w:jc w:val="center"/>
        <w:rPr>
          <w:rFonts w:ascii="Arial" w:hAnsi="Arial"/>
          <w:b/>
          <w:sz w:val="22"/>
          <w:szCs w:val="22"/>
          <w:u w:val="single"/>
        </w:rPr>
      </w:pPr>
    </w:p>
    <w:tbl>
      <w:tblPr>
        <w:tblW w:w="10633" w:type="dxa"/>
        <w:jc w:val="center"/>
        <w:tblLook w:val="01E0" w:firstRow="1" w:lastRow="1" w:firstColumn="1" w:lastColumn="1" w:noHBand="0" w:noVBand="0"/>
      </w:tblPr>
      <w:tblGrid>
        <w:gridCol w:w="5161"/>
        <w:gridCol w:w="1368"/>
        <w:gridCol w:w="1368"/>
        <w:gridCol w:w="1368"/>
        <w:gridCol w:w="1368"/>
      </w:tblGrid>
      <w:tr w:rsidR="005C0105" w:rsidRPr="004B02FE" w:rsidTr="005C0105">
        <w:trPr>
          <w:jc w:val="center"/>
        </w:trPr>
        <w:tc>
          <w:tcPr>
            <w:tcW w:w="5161" w:type="dxa"/>
            <w:tcBorders>
              <w:top w:val="single" w:sz="4" w:space="0" w:color="auto"/>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center"/>
              <w:rPr>
                <w:rFonts w:ascii="Arial" w:hAnsi="Arial" w:cs="Arial"/>
                <w:b/>
                <w:sz w:val="18"/>
                <w:szCs w:val="18"/>
              </w:rPr>
            </w:pPr>
            <w:r w:rsidRPr="004B02FE">
              <w:rPr>
                <w:rFonts w:ascii="Arial" w:hAnsi="Arial" w:cs="Arial"/>
                <w:b/>
                <w:sz w:val="18"/>
                <w:szCs w:val="18"/>
              </w:rPr>
              <w:t>COMPONENTES</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center"/>
              <w:rPr>
                <w:rFonts w:ascii="Arial" w:hAnsi="Arial" w:cs="Arial"/>
                <w:b/>
                <w:sz w:val="18"/>
                <w:szCs w:val="18"/>
              </w:rPr>
            </w:pPr>
            <w:r w:rsidRPr="004B02FE">
              <w:rPr>
                <w:rFonts w:ascii="Arial" w:hAnsi="Arial" w:cs="Arial"/>
                <w:b/>
                <w:sz w:val="18"/>
                <w:szCs w:val="18"/>
              </w:rPr>
              <w:t>IMPORTES</w:t>
            </w:r>
          </w:p>
          <w:p w:rsidR="005C0105" w:rsidRPr="004B02FE" w:rsidRDefault="005C0105" w:rsidP="00D402B5">
            <w:pPr>
              <w:widowControl w:val="0"/>
              <w:autoSpaceDE w:val="0"/>
              <w:autoSpaceDN w:val="0"/>
              <w:adjustRightInd w:val="0"/>
              <w:spacing w:line="240" w:lineRule="atLeast"/>
              <w:jc w:val="center"/>
              <w:rPr>
                <w:rFonts w:ascii="Arial" w:hAnsi="Arial" w:cs="Arial"/>
                <w:b/>
                <w:sz w:val="18"/>
                <w:szCs w:val="18"/>
              </w:rPr>
            </w:pPr>
            <w:r w:rsidRPr="004B02FE">
              <w:rPr>
                <w:rFonts w:ascii="Arial" w:hAnsi="Arial" w:cs="Arial"/>
                <w:b/>
                <w:sz w:val="18"/>
                <w:szCs w:val="18"/>
              </w:rPr>
              <w:t>AÑO</w:t>
            </w:r>
          </w:p>
        </w:tc>
        <w:tc>
          <w:tcPr>
            <w:tcW w:w="2736" w:type="dxa"/>
            <w:gridSpan w:val="2"/>
            <w:tcBorders>
              <w:top w:val="single" w:sz="4" w:space="0" w:color="auto"/>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center"/>
              <w:rPr>
                <w:rFonts w:ascii="Arial" w:hAnsi="Arial" w:cs="Arial"/>
                <w:b/>
                <w:sz w:val="18"/>
                <w:szCs w:val="18"/>
              </w:rPr>
            </w:pPr>
            <w:r w:rsidRPr="004B02FE">
              <w:rPr>
                <w:rFonts w:ascii="Arial" w:hAnsi="Arial" w:cs="Arial"/>
                <w:b/>
                <w:sz w:val="18"/>
                <w:szCs w:val="18"/>
              </w:rPr>
              <w:t xml:space="preserve">IMPORTES </w:t>
            </w:r>
          </w:p>
          <w:p w:rsidR="005C0105" w:rsidRPr="004B02FE" w:rsidRDefault="005C0105" w:rsidP="00D402B5">
            <w:pPr>
              <w:widowControl w:val="0"/>
              <w:autoSpaceDE w:val="0"/>
              <w:autoSpaceDN w:val="0"/>
              <w:adjustRightInd w:val="0"/>
              <w:spacing w:line="240" w:lineRule="atLeast"/>
              <w:jc w:val="center"/>
              <w:rPr>
                <w:rFonts w:ascii="Arial" w:hAnsi="Arial" w:cs="Arial"/>
                <w:b/>
                <w:sz w:val="18"/>
                <w:szCs w:val="18"/>
              </w:rPr>
            </w:pPr>
            <w:r w:rsidRPr="004B02FE">
              <w:rPr>
                <w:rFonts w:ascii="Arial" w:hAnsi="Arial" w:cs="Arial"/>
                <w:b/>
                <w:sz w:val="18"/>
                <w:szCs w:val="18"/>
              </w:rPr>
              <w:t>AÑO ANTERIOR</w:t>
            </w:r>
          </w:p>
        </w:tc>
      </w:tr>
      <w:tr w:rsidR="005C0105" w:rsidRPr="004B02FE" w:rsidTr="00D402B5">
        <w:trPr>
          <w:trHeight w:val="321"/>
          <w:jc w:val="center"/>
        </w:trPr>
        <w:tc>
          <w:tcPr>
            <w:tcW w:w="5161" w:type="dxa"/>
            <w:tcBorders>
              <w:top w:val="single" w:sz="4" w:space="0" w:color="auto"/>
              <w:left w:val="single" w:sz="4" w:space="0" w:color="auto"/>
              <w:right w:val="single" w:sz="4" w:space="0" w:color="auto"/>
            </w:tcBorders>
            <w:shd w:val="clear" w:color="auto" w:fill="auto"/>
          </w:tcPr>
          <w:p w:rsidR="005C0105" w:rsidRPr="004B02FE" w:rsidRDefault="005C0105" w:rsidP="00D402B5">
            <w:pPr>
              <w:widowControl w:val="0"/>
              <w:tabs>
                <w:tab w:val="left" w:pos="6075"/>
              </w:tabs>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1. Fondos líquidos</w:t>
            </w:r>
          </w:p>
        </w:tc>
        <w:tc>
          <w:tcPr>
            <w:tcW w:w="1368" w:type="dxa"/>
            <w:tcBorders>
              <w:top w:val="single" w:sz="4" w:space="0" w:color="auto"/>
              <w:left w:val="single" w:sz="4" w:space="0" w:color="auto"/>
              <w:right w:val="single" w:sz="4" w:space="0" w:color="auto"/>
            </w:tcBorders>
            <w:shd w:val="clear" w:color="auto" w:fill="FFFFFF"/>
          </w:tcPr>
          <w:p w:rsidR="005C0105" w:rsidRPr="004B02FE" w:rsidRDefault="005C0105" w:rsidP="00D402B5">
            <w:pPr>
              <w:widowControl w:val="0"/>
              <w:tabs>
                <w:tab w:val="left" w:pos="6075"/>
              </w:tabs>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right w:val="single" w:sz="4" w:space="0" w:color="auto"/>
            </w:tcBorders>
            <w:shd w:val="clear" w:color="auto" w:fill="FFFFFF"/>
          </w:tcPr>
          <w:p w:rsidR="005C0105" w:rsidRPr="004B02FE" w:rsidRDefault="005C0105" w:rsidP="00D402B5">
            <w:pPr>
              <w:widowControl w:val="0"/>
              <w:tabs>
                <w:tab w:val="left" w:pos="6075"/>
              </w:tabs>
              <w:autoSpaceDE w:val="0"/>
              <w:autoSpaceDN w:val="0"/>
              <w:adjustRightInd w:val="0"/>
              <w:spacing w:line="240" w:lineRule="atLeast"/>
              <w:jc w:val="both"/>
              <w:rPr>
                <w:rFonts w:ascii="Arial" w:hAnsi="Arial" w:cs="Arial"/>
                <w:sz w:val="18"/>
                <w:szCs w:val="18"/>
              </w:rPr>
            </w:pPr>
          </w:p>
        </w:tc>
        <w:tc>
          <w:tcPr>
            <w:tcW w:w="1368" w:type="dxa"/>
            <w:tcBorders>
              <w:top w:val="single" w:sz="4" w:space="0" w:color="auto"/>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trHeight w:val="283"/>
          <w:jc w:val="center"/>
        </w:trPr>
        <w:tc>
          <w:tcPr>
            <w:tcW w:w="5161" w:type="dxa"/>
            <w:tcBorders>
              <w:left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2. Derechos pendientes de cobro</w:t>
            </w: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b/>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b/>
                <w:sz w:val="18"/>
                <w:szCs w:val="18"/>
              </w:rPr>
            </w:pPr>
          </w:p>
        </w:tc>
      </w:tr>
      <w:tr w:rsidR="005C0105" w:rsidRPr="004B02FE" w:rsidTr="00D402B5">
        <w:trPr>
          <w:jc w:val="center"/>
        </w:trPr>
        <w:tc>
          <w:tcPr>
            <w:tcW w:w="5161" w:type="dxa"/>
            <w:tcBorders>
              <w:left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xml:space="preserve"> (+) del Presupuesto corriente</w:t>
            </w: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left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xml:space="preserve"> (+) de Presupuestos cerrados</w:t>
            </w: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left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xml:space="preserve"> (+) de Operaciones no presupuestarias</w:t>
            </w: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left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3 Obligaciones pendientes de pago</w:t>
            </w: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left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)del Presupuesto corriente</w:t>
            </w: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left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de Presupuestos cerrados</w:t>
            </w: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left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de Operaciones no presupuestarias</w:t>
            </w: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left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4. Partidas pendientes de aplicación</w:t>
            </w: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center"/>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center"/>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left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cobros realizados pendientes de aplicación definitiva</w:t>
            </w: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vMerge w:val="restart"/>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left w:val="single" w:sz="4" w:space="0" w:color="auto"/>
              <w:bottom w:val="single" w:sz="4" w:space="0" w:color="auto"/>
              <w:righ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ind w:left="318"/>
              <w:jc w:val="both"/>
              <w:rPr>
                <w:rFonts w:ascii="Arial" w:hAnsi="Arial" w:cs="Arial"/>
                <w:sz w:val="18"/>
                <w:szCs w:val="18"/>
              </w:rPr>
            </w:pPr>
            <w:r w:rsidRPr="004B02FE">
              <w:rPr>
                <w:rFonts w:ascii="Arial" w:hAnsi="Arial" w:cs="Arial"/>
                <w:sz w:val="18"/>
                <w:szCs w:val="18"/>
              </w:rPr>
              <w:t>(+)  pagos realizados pendientes de aplicación definitiva</w:t>
            </w:r>
          </w:p>
        </w:tc>
        <w:tc>
          <w:tcPr>
            <w:tcW w:w="1368" w:type="dxa"/>
            <w:tcBorders>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vMerge/>
            <w:tcBorders>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top w:val="single" w:sz="4" w:space="0" w:color="auto"/>
              <w:left w:val="single" w:sz="4" w:space="0" w:color="auto"/>
              <w:bottom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I. Remanente de tesorería total (1+2-3+4)</w:t>
            </w:r>
          </w:p>
        </w:tc>
        <w:tc>
          <w:tcPr>
            <w:tcW w:w="1368" w:type="dxa"/>
            <w:tcBorders>
              <w:top w:val="single" w:sz="4" w:space="0" w:color="auto"/>
              <w:left w:val="nil"/>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top w:val="single" w:sz="4" w:space="0" w:color="auto"/>
              <w:left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II. Saldos de dudoso cobro</w:t>
            </w:r>
          </w:p>
        </w:tc>
        <w:tc>
          <w:tcPr>
            <w:tcW w:w="1368" w:type="dxa"/>
            <w:tcBorders>
              <w:top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p>
        </w:tc>
        <w:tc>
          <w:tcPr>
            <w:tcW w:w="1368" w:type="dxa"/>
            <w:tcBorders>
              <w:top w:val="single" w:sz="4" w:space="0" w:color="auto"/>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left w:val="single" w:sz="4" w:space="0" w:color="auto"/>
              <w:bottom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III. Exceso de financiación afectada</w:t>
            </w:r>
          </w:p>
        </w:tc>
        <w:tc>
          <w:tcPr>
            <w:tcW w:w="1368" w:type="dxa"/>
            <w:tcBorders>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p>
        </w:tc>
        <w:tc>
          <w:tcPr>
            <w:tcW w:w="1368" w:type="dxa"/>
            <w:tcBorders>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r w:rsidR="005C0105" w:rsidRPr="004B02FE" w:rsidTr="00D402B5">
        <w:trPr>
          <w:jc w:val="center"/>
        </w:trPr>
        <w:tc>
          <w:tcPr>
            <w:tcW w:w="5161" w:type="dxa"/>
            <w:tcBorders>
              <w:top w:val="single" w:sz="4" w:space="0" w:color="auto"/>
              <w:left w:val="single" w:sz="4" w:space="0" w:color="auto"/>
              <w:bottom w:val="single" w:sz="4" w:space="0" w:color="auto"/>
            </w:tcBorders>
            <w:shd w:val="clear" w:color="auto" w:fill="auto"/>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r w:rsidRPr="004B02FE">
              <w:rPr>
                <w:rFonts w:ascii="Arial" w:hAnsi="Arial" w:cs="Arial"/>
                <w:sz w:val="18"/>
                <w:szCs w:val="18"/>
              </w:rPr>
              <w:t>IV .Remanente de tesorería para gastos generales (I-II-III)</w:t>
            </w:r>
          </w:p>
        </w:tc>
        <w:tc>
          <w:tcPr>
            <w:tcW w:w="1368" w:type="dxa"/>
            <w:tcBorders>
              <w:top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both"/>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5C0105" w:rsidRPr="004B02FE" w:rsidRDefault="005C0105" w:rsidP="00D402B5">
            <w:pPr>
              <w:widowControl w:val="0"/>
              <w:autoSpaceDE w:val="0"/>
              <w:autoSpaceDN w:val="0"/>
              <w:adjustRightInd w:val="0"/>
              <w:spacing w:line="240" w:lineRule="atLeast"/>
              <w:jc w:val="right"/>
              <w:rPr>
                <w:rFonts w:ascii="Arial" w:hAnsi="Arial" w:cs="Arial"/>
                <w:sz w:val="18"/>
                <w:szCs w:val="18"/>
              </w:rPr>
            </w:pPr>
          </w:p>
        </w:tc>
      </w:tr>
    </w:tbl>
    <w:p w:rsidR="008C0F21" w:rsidRPr="00D0292D" w:rsidRDefault="008C0F21" w:rsidP="008C0F21">
      <w:pPr>
        <w:widowControl w:val="0"/>
        <w:autoSpaceDE w:val="0"/>
        <w:autoSpaceDN w:val="0"/>
        <w:adjustRightInd w:val="0"/>
        <w:spacing w:line="240" w:lineRule="atLeast"/>
        <w:jc w:val="center"/>
        <w:rPr>
          <w:rFonts w:ascii="Arial" w:hAnsi="Arial"/>
          <w:b/>
          <w:sz w:val="22"/>
          <w:szCs w:val="22"/>
          <w:u w:val="single"/>
        </w:rPr>
      </w:pPr>
    </w:p>
    <w:p w:rsidR="00446C56" w:rsidRPr="000E3A81" w:rsidRDefault="00446C56" w:rsidP="00446C56">
      <w:pPr>
        <w:pStyle w:val="Textosinformato"/>
        <w:tabs>
          <w:tab w:val="num" w:pos="0"/>
        </w:tabs>
        <w:spacing w:after="120"/>
        <w:jc w:val="both"/>
        <w:rPr>
          <w:rFonts w:ascii="Arial" w:hAnsi="Arial" w:cs="Arial"/>
          <w:sz w:val="22"/>
          <w:szCs w:val="22"/>
        </w:rPr>
      </w:pPr>
      <w:r w:rsidRPr="00446E37">
        <w:rPr>
          <w:rFonts w:ascii="Arial" w:hAnsi="Arial" w:cs="Arial"/>
          <w:b/>
          <w:sz w:val="22"/>
          <w:szCs w:val="22"/>
        </w:rPr>
        <w:tab/>
      </w:r>
      <w:r w:rsidRPr="000E3A81">
        <w:rPr>
          <w:rFonts w:ascii="Arial" w:hAnsi="Arial" w:cs="Arial"/>
          <w:b/>
          <w:caps/>
          <w:sz w:val="22"/>
          <w:szCs w:val="22"/>
        </w:rPr>
        <w:t>segundo.</w:t>
      </w:r>
      <w:r w:rsidRPr="000E3A81">
        <w:rPr>
          <w:rFonts w:ascii="Arial" w:hAnsi="Arial" w:cs="Arial"/>
          <w:b/>
          <w:sz w:val="22"/>
          <w:szCs w:val="22"/>
        </w:rPr>
        <w:t xml:space="preserve"> </w:t>
      </w:r>
      <w:r w:rsidRPr="000E3A81">
        <w:rPr>
          <w:rFonts w:ascii="Arial" w:hAnsi="Arial" w:cs="Arial"/>
          <w:sz w:val="22"/>
          <w:szCs w:val="22"/>
        </w:rPr>
        <w:t xml:space="preserve"> Dar cuenta al Ayuntamiento Pleno en la primera sesión que celebre de los citados estados demostrativos y de la aprobación de la Liquidación del Presupuesto del Ejercicio de </w:t>
      </w:r>
      <w:r>
        <w:rPr>
          <w:rFonts w:ascii="Arial" w:hAnsi="Arial" w:cs="Arial"/>
          <w:sz w:val="22"/>
          <w:szCs w:val="22"/>
        </w:rPr>
        <w:t>______________</w:t>
      </w:r>
      <w:r w:rsidRPr="000E3A81">
        <w:rPr>
          <w:rFonts w:ascii="Arial" w:hAnsi="Arial" w:cs="Arial"/>
          <w:sz w:val="22"/>
          <w:szCs w:val="22"/>
        </w:rPr>
        <w:t xml:space="preserve">, obrando en consecuencia, de acuerdo con lo previsto en el artículo 191.3 </w:t>
      </w:r>
      <w:r>
        <w:rPr>
          <w:rFonts w:ascii="Arial" w:hAnsi="Arial" w:cs="Arial"/>
          <w:sz w:val="22"/>
          <w:szCs w:val="22"/>
        </w:rPr>
        <w:t>TRLRHL y art</w:t>
      </w:r>
      <w:r w:rsidRPr="000E3A81">
        <w:rPr>
          <w:rFonts w:ascii="Arial" w:hAnsi="Arial" w:cs="Arial"/>
          <w:sz w:val="22"/>
          <w:szCs w:val="22"/>
        </w:rPr>
        <w:t xml:space="preserve">ículo 90.2 </w:t>
      </w:r>
      <w:r>
        <w:rPr>
          <w:rFonts w:ascii="Arial" w:hAnsi="Arial" w:cs="Arial"/>
          <w:sz w:val="22"/>
          <w:szCs w:val="22"/>
        </w:rPr>
        <w:t>RD 500/1990.</w:t>
      </w:r>
    </w:p>
    <w:p w:rsidR="00446C56" w:rsidRDefault="00446C56" w:rsidP="00446C56">
      <w:pPr>
        <w:widowControl w:val="0"/>
        <w:autoSpaceDE w:val="0"/>
        <w:autoSpaceDN w:val="0"/>
        <w:adjustRightInd w:val="0"/>
        <w:spacing w:after="120"/>
        <w:jc w:val="both"/>
        <w:rPr>
          <w:rFonts w:ascii="Arial" w:hAnsi="Arial" w:cs="Arial"/>
          <w:b/>
          <w:sz w:val="22"/>
          <w:szCs w:val="22"/>
        </w:rPr>
      </w:pPr>
      <w:r>
        <w:rPr>
          <w:rFonts w:ascii="Arial" w:hAnsi="Arial" w:cs="Arial"/>
          <w:b/>
          <w:sz w:val="22"/>
          <w:szCs w:val="22"/>
        </w:rPr>
        <w:tab/>
      </w:r>
      <w:r w:rsidR="00F25367" w:rsidRPr="00F25367">
        <w:t xml:space="preserve"> </w:t>
      </w:r>
      <w:r>
        <w:rPr>
          <w:rFonts w:ascii="Arial" w:hAnsi="Arial" w:cs="Arial"/>
          <w:b/>
          <w:sz w:val="22"/>
          <w:szCs w:val="22"/>
        </w:rPr>
        <w:t>TERCERO.</w:t>
      </w:r>
      <w:r w:rsidR="00607762" w:rsidRPr="001F0734">
        <w:rPr>
          <w:rFonts w:ascii="Arial" w:hAnsi="Arial" w:cs="Arial"/>
          <w:sz w:val="22"/>
          <w:szCs w:val="22"/>
        </w:rPr>
        <w:t xml:space="preserve"> De conformidad con lo dispuesto en el artículo 193 bis </w:t>
      </w:r>
      <w:r>
        <w:rPr>
          <w:rFonts w:ascii="Arial" w:hAnsi="Arial" w:cs="Arial"/>
          <w:sz w:val="22"/>
          <w:szCs w:val="22"/>
        </w:rPr>
        <w:t>TRLRHL</w:t>
      </w:r>
      <w:r w:rsidR="00607762" w:rsidRPr="001F0734">
        <w:rPr>
          <w:rFonts w:ascii="Arial" w:hAnsi="Arial" w:cs="Arial"/>
          <w:sz w:val="22"/>
          <w:szCs w:val="22"/>
        </w:rPr>
        <w:t>, dar cuenta al Pleno del resultado de la aplicación de los criterios determinantes de los derechos de difícil o imposible recaudación, que determinan un importe de ____________________euros.</w:t>
      </w:r>
      <w:r w:rsidRPr="00446C56">
        <w:rPr>
          <w:rFonts w:ascii="Arial" w:hAnsi="Arial" w:cs="Arial"/>
          <w:b/>
          <w:sz w:val="22"/>
          <w:szCs w:val="22"/>
        </w:rPr>
        <w:t xml:space="preserve"> </w:t>
      </w:r>
    </w:p>
    <w:p w:rsidR="00607762" w:rsidRPr="00607762" w:rsidRDefault="00446C56" w:rsidP="00446C56">
      <w:pPr>
        <w:widowControl w:val="0"/>
        <w:autoSpaceDE w:val="0"/>
        <w:autoSpaceDN w:val="0"/>
        <w:adjustRightInd w:val="0"/>
        <w:spacing w:after="120"/>
        <w:jc w:val="both"/>
        <w:rPr>
          <w:rFonts w:ascii="Arial" w:hAnsi="Arial" w:cs="Arial"/>
          <w:sz w:val="22"/>
          <w:szCs w:val="22"/>
        </w:rPr>
      </w:pPr>
      <w:r>
        <w:rPr>
          <w:rFonts w:ascii="Arial" w:hAnsi="Arial" w:cs="Arial"/>
          <w:b/>
          <w:sz w:val="22"/>
          <w:szCs w:val="22"/>
        </w:rPr>
        <w:tab/>
        <w:t>CUARTO</w:t>
      </w:r>
      <w:r w:rsidRPr="00DB422F">
        <w:rPr>
          <w:rFonts w:ascii="Arial" w:hAnsi="Arial" w:cs="Arial"/>
          <w:sz w:val="22"/>
          <w:szCs w:val="22"/>
        </w:rPr>
        <w:t>. Remitir copia de la Liquidación a la</w:t>
      </w:r>
      <w:r>
        <w:rPr>
          <w:rFonts w:ascii="Arial" w:hAnsi="Arial" w:cs="Arial"/>
          <w:sz w:val="22"/>
          <w:szCs w:val="22"/>
        </w:rPr>
        <w:t xml:space="preserve"> </w:t>
      </w:r>
      <w:r>
        <w:rPr>
          <w:rFonts w:ascii="Arial" w:hAnsi="Arial" w:cs="Arial"/>
          <w:sz w:val="22"/>
          <w:szCs w:val="22"/>
        </w:rPr>
        <w:t xml:space="preserve">Comunidad Autónoma </w:t>
      </w:r>
      <w:r w:rsidRPr="00DB422F">
        <w:rPr>
          <w:rFonts w:ascii="Arial" w:hAnsi="Arial" w:cs="Arial"/>
          <w:sz w:val="22"/>
          <w:szCs w:val="22"/>
        </w:rPr>
        <w:t>y al Ministerio de Hacienda.</w:t>
      </w:r>
    </w:p>
    <w:p w:rsidR="000A6AAC" w:rsidRDefault="00446C56" w:rsidP="00FD6190">
      <w:pPr>
        <w:widowControl w:val="0"/>
        <w:autoSpaceDE w:val="0"/>
        <w:autoSpaceDN w:val="0"/>
        <w:adjustRightInd w:val="0"/>
        <w:spacing w:after="120"/>
        <w:jc w:val="both"/>
      </w:pPr>
      <w:r>
        <w:rPr>
          <w:rFonts w:ascii="Arial" w:hAnsi="Arial" w:cs="Arial"/>
          <w:b/>
          <w:sz w:val="22"/>
          <w:szCs w:val="22"/>
          <w:highlight w:val="lightGray"/>
          <w:shd w:val="clear" w:color="auto" w:fill="FFFFFF"/>
        </w:rPr>
        <w:tab/>
      </w:r>
      <w:r w:rsidR="00A9194A">
        <w:rPr>
          <w:rFonts w:ascii="Arial" w:hAnsi="Arial" w:cs="Arial"/>
          <w:b/>
          <w:sz w:val="22"/>
          <w:szCs w:val="22"/>
          <w:highlight w:val="lightGray"/>
          <w:shd w:val="clear" w:color="auto" w:fill="FFFFFF"/>
        </w:rPr>
        <w:t>QUINTO</w:t>
      </w:r>
      <w:r w:rsidR="00E51FFA" w:rsidRPr="00607762">
        <w:rPr>
          <w:rFonts w:ascii="Arial" w:hAnsi="Arial" w:cs="Arial"/>
          <w:sz w:val="22"/>
          <w:szCs w:val="22"/>
          <w:highlight w:val="lightGray"/>
          <w:shd w:val="clear" w:color="auto" w:fill="FFFFFF"/>
        </w:rPr>
        <w:t xml:space="preserve">. </w:t>
      </w:r>
      <w:r w:rsidR="00E51FFA" w:rsidRPr="00607762">
        <w:rPr>
          <w:rFonts w:ascii="Arial" w:hAnsi="Arial" w:cs="Arial"/>
          <w:i/>
          <w:sz w:val="22"/>
          <w:szCs w:val="22"/>
          <w:highlight w:val="lightGray"/>
          <w:shd w:val="clear" w:color="auto" w:fill="FFFFFF"/>
        </w:rPr>
        <w:t xml:space="preserve">(En el supuesto de </w:t>
      </w:r>
      <w:r w:rsidR="00C20CA6" w:rsidRPr="00607762">
        <w:rPr>
          <w:rFonts w:ascii="Arial" w:hAnsi="Arial" w:cs="Arial"/>
          <w:i/>
          <w:sz w:val="22"/>
          <w:szCs w:val="22"/>
          <w:highlight w:val="lightGray"/>
          <w:shd w:val="clear" w:color="auto" w:fill="FFFFFF"/>
        </w:rPr>
        <w:t>Liquidación</w:t>
      </w:r>
      <w:r w:rsidR="00E51FFA" w:rsidRPr="00607762">
        <w:rPr>
          <w:rFonts w:ascii="Arial" w:hAnsi="Arial" w:cs="Arial"/>
          <w:i/>
          <w:sz w:val="22"/>
          <w:szCs w:val="22"/>
          <w:highlight w:val="lightGray"/>
          <w:shd w:val="clear" w:color="auto" w:fill="FFFFFF"/>
        </w:rPr>
        <w:t xml:space="preserve"> con</w:t>
      </w:r>
      <w:r w:rsidR="00C20CA6" w:rsidRPr="00607762">
        <w:rPr>
          <w:rFonts w:ascii="Arial" w:hAnsi="Arial" w:cs="Arial"/>
          <w:i/>
          <w:sz w:val="22"/>
          <w:szCs w:val="22"/>
          <w:highlight w:val="lightGray"/>
          <w:shd w:val="clear" w:color="auto" w:fill="FFFFFF"/>
        </w:rPr>
        <w:t xml:space="preserve"> Remanente de tesorería negativo, se añadirá el siguiente párrafo</w:t>
      </w:r>
      <w:r w:rsidR="00E51FFA" w:rsidRPr="00607762">
        <w:rPr>
          <w:rFonts w:ascii="Arial" w:hAnsi="Arial" w:cs="Arial"/>
          <w:sz w:val="22"/>
          <w:szCs w:val="22"/>
          <w:shd w:val="clear" w:color="auto" w:fill="FFFFFF"/>
        </w:rPr>
        <w:t xml:space="preserve"> </w:t>
      </w:r>
      <w:r w:rsidR="00C9728E" w:rsidRPr="00354999">
        <w:rPr>
          <w:rFonts w:ascii="Arial" w:hAnsi="Arial" w:cs="Arial"/>
          <w:sz w:val="22"/>
          <w:szCs w:val="22"/>
        </w:rPr>
        <w:t xml:space="preserve">Como consecuencia del resultado negativo del Remanente de Tesorería, </w:t>
      </w:r>
      <w:r w:rsidR="00B11DF0">
        <w:rPr>
          <w:rFonts w:ascii="Arial" w:hAnsi="Arial" w:cs="Arial"/>
          <w:sz w:val="22"/>
          <w:szCs w:val="22"/>
        </w:rPr>
        <w:t xml:space="preserve">se acuerda proponer al Pleno la adopción de </w:t>
      </w:r>
      <w:r w:rsidR="00C9728E" w:rsidRPr="00B736E0">
        <w:rPr>
          <w:rFonts w:ascii="Arial" w:eastAsia="Calibri" w:hAnsi="Arial" w:cs="Arial"/>
          <w:sz w:val="22"/>
          <w:szCs w:val="22"/>
        </w:rPr>
        <w:t>alguna de las medidas que se contemplan en el artículo 193</w:t>
      </w:r>
      <w:r w:rsidR="00C9728E" w:rsidRPr="00B736E0">
        <w:rPr>
          <w:rFonts w:ascii="Arial" w:hAnsi="Arial" w:cs="Arial"/>
          <w:sz w:val="22"/>
          <w:szCs w:val="22"/>
        </w:rPr>
        <w:t xml:space="preserve"> </w:t>
      </w:r>
      <w:r>
        <w:rPr>
          <w:rFonts w:ascii="Arial" w:hAnsi="Arial" w:cs="Arial"/>
          <w:sz w:val="22"/>
          <w:szCs w:val="22"/>
        </w:rPr>
        <w:t>TRLRHL.</w:t>
      </w:r>
    </w:p>
    <w:p w:rsidR="008C0F21" w:rsidRPr="00466497" w:rsidRDefault="008C0F21" w:rsidP="008C0F21">
      <w:pPr>
        <w:widowControl w:val="0"/>
        <w:autoSpaceDE w:val="0"/>
        <w:autoSpaceDN w:val="0"/>
        <w:adjustRightInd w:val="0"/>
        <w:spacing w:line="240" w:lineRule="atLeast"/>
        <w:jc w:val="both"/>
        <w:rPr>
          <w:rFonts w:ascii="Arial" w:hAnsi="Arial" w:cs="Arial"/>
          <w:sz w:val="22"/>
          <w:szCs w:val="22"/>
        </w:rPr>
      </w:pPr>
      <w:r w:rsidRPr="00466497">
        <w:rPr>
          <w:rFonts w:ascii="Arial" w:hAnsi="Arial" w:cs="Arial"/>
          <w:sz w:val="22"/>
          <w:szCs w:val="22"/>
        </w:rPr>
        <w:tab/>
        <w:t>En____________________ a ______de ______________de  20</w:t>
      </w:r>
      <w:r w:rsidR="009628EB">
        <w:rPr>
          <w:rFonts w:ascii="Arial" w:hAnsi="Arial" w:cs="Arial"/>
          <w:sz w:val="22"/>
          <w:szCs w:val="22"/>
        </w:rPr>
        <w:t>2</w:t>
      </w:r>
      <w:r w:rsidRPr="00466497">
        <w:rPr>
          <w:rFonts w:ascii="Arial" w:hAnsi="Arial" w:cs="Arial"/>
          <w:sz w:val="22"/>
          <w:szCs w:val="22"/>
        </w:rPr>
        <w:t>___.</w:t>
      </w:r>
    </w:p>
    <w:p w:rsidR="008C0F21" w:rsidRPr="00466497" w:rsidRDefault="008C0F21" w:rsidP="008C0F21">
      <w:pPr>
        <w:widowControl w:val="0"/>
        <w:autoSpaceDE w:val="0"/>
        <w:autoSpaceDN w:val="0"/>
        <w:adjustRightInd w:val="0"/>
        <w:spacing w:line="240" w:lineRule="atLeast"/>
        <w:jc w:val="both"/>
        <w:rPr>
          <w:rFonts w:ascii="Arial" w:hAnsi="Arial" w:cs="Arial"/>
          <w:sz w:val="22"/>
          <w:szCs w:val="22"/>
        </w:rPr>
      </w:pPr>
    </w:p>
    <w:p w:rsidR="008C0F21" w:rsidRPr="00466497" w:rsidRDefault="008C0F21" w:rsidP="008C0F21">
      <w:pPr>
        <w:widowControl w:val="0"/>
        <w:autoSpaceDE w:val="0"/>
        <w:autoSpaceDN w:val="0"/>
        <w:adjustRightInd w:val="0"/>
        <w:spacing w:line="240" w:lineRule="atLeast"/>
        <w:jc w:val="both"/>
        <w:rPr>
          <w:rFonts w:ascii="Arial" w:hAnsi="Arial" w:cs="Arial"/>
          <w:sz w:val="22"/>
          <w:szCs w:val="22"/>
        </w:rPr>
      </w:pPr>
      <w:r w:rsidRPr="00466497">
        <w:rPr>
          <w:rFonts w:ascii="Arial" w:hAnsi="Arial" w:cs="Arial"/>
          <w:sz w:val="22"/>
          <w:szCs w:val="22"/>
        </w:rPr>
        <w:tab/>
        <w:t>EL</w:t>
      </w:r>
      <w:r w:rsidR="000528B4">
        <w:rPr>
          <w:rFonts w:ascii="Arial" w:hAnsi="Arial" w:cs="Arial"/>
          <w:sz w:val="22"/>
          <w:szCs w:val="22"/>
        </w:rPr>
        <w:t>/LA</w:t>
      </w:r>
      <w:r w:rsidRPr="00466497">
        <w:rPr>
          <w:rFonts w:ascii="Arial" w:hAnsi="Arial" w:cs="Arial"/>
          <w:sz w:val="22"/>
          <w:szCs w:val="22"/>
        </w:rPr>
        <w:t xml:space="preserve"> ALCALDE</w:t>
      </w:r>
      <w:r w:rsidR="000528B4">
        <w:rPr>
          <w:rFonts w:ascii="Arial" w:hAnsi="Arial" w:cs="Arial"/>
          <w:sz w:val="22"/>
          <w:szCs w:val="22"/>
        </w:rPr>
        <w:t>/SA</w:t>
      </w:r>
      <w:r w:rsidRPr="00466497">
        <w:rPr>
          <w:rFonts w:ascii="Arial" w:hAnsi="Arial" w:cs="Arial"/>
          <w:sz w:val="22"/>
          <w:szCs w:val="22"/>
        </w:rPr>
        <w:tab/>
      </w:r>
      <w:r w:rsidRPr="00466497">
        <w:rPr>
          <w:rFonts w:ascii="Arial" w:hAnsi="Arial" w:cs="Arial"/>
          <w:sz w:val="22"/>
          <w:szCs w:val="22"/>
        </w:rPr>
        <w:tab/>
      </w:r>
      <w:r w:rsidRPr="00466497">
        <w:rPr>
          <w:rFonts w:ascii="Arial" w:hAnsi="Arial" w:cs="Arial"/>
          <w:sz w:val="22"/>
          <w:szCs w:val="22"/>
        </w:rPr>
        <w:tab/>
      </w:r>
      <w:r w:rsidRPr="00466497">
        <w:rPr>
          <w:rFonts w:ascii="Arial" w:hAnsi="Arial" w:cs="Arial"/>
          <w:sz w:val="22"/>
          <w:szCs w:val="22"/>
        </w:rPr>
        <w:tab/>
      </w:r>
      <w:r w:rsidRPr="00466497">
        <w:rPr>
          <w:rFonts w:ascii="Arial" w:hAnsi="Arial" w:cs="Arial"/>
          <w:sz w:val="22"/>
          <w:szCs w:val="22"/>
        </w:rPr>
        <w:tab/>
      </w:r>
      <w:r w:rsidR="000528B4">
        <w:rPr>
          <w:rFonts w:ascii="Arial" w:hAnsi="Arial" w:cs="Arial"/>
          <w:sz w:val="22"/>
          <w:szCs w:val="22"/>
        </w:rPr>
        <w:tab/>
      </w:r>
      <w:r w:rsidRPr="00466497">
        <w:rPr>
          <w:rFonts w:ascii="Arial" w:hAnsi="Arial" w:cs="Arial"/>
          <w:sz w:val="22"/>
          <w:szCs w:val="22"/>
        </w:rPr>
        <w:t>ANTE MI.</w:t>
      </w:r>
    </w:p>
    <w:p w:rsidR="000528B4" w:rsidRDefault="000528B4" w:rsidP="008C0F21">
      <w:pPr>
        <w:widowControl w:val="0"/>
        <w:autoSpaceDE w:val="0"/>
        <w:autoSpaceDN w:val="0"/>
        <w:adjustRightInd w:val="0"/>
        <w:spacing w:line="240" w:lineRule="atLeas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C0F21" w:rsidRPr="00466497">
        <w:rPr>
          <w:rFonts w:ascii="Arial" w:hAnsi="Arial" w:cs="Arial"/>
          <w:sz w:val="22"/>
          <w:szCs w:val="22"/>
        </w:rPr>
        <w:t>EL</w:t>
      </w:r>
      <w:r>
        <w:rPr>
          <w:rFonts w:ascii="Arial" w:hAnsi="Arial" w:cs="Arial"/>
          <w:sz w:val="22"/>
          <w:szCs w:val="22"/>
        </w:rPr>
        <w:t>/LA</w:t>
      </w:r>
      <w:r w:rsidR="008C0F21" w:rsidRPr="00466497">
        <w:rPr>
          <w:rFonts w:ascii="Arial" w:hAnsi="Arial" w:cs="Arial"/>
          <w:sz w:val="22"/>
          <w:szCs w:val="22"/>
        </w:rPr>
        <w:t xml:space="preserve"> SECRETARIO</w:t>
      </w:r>
      <w:r>
        <w:rPr>
          <w:rFonts w:ascii="Arial" w:hAnsi="Arial" w:cs="Arial"/>
          <w:sz w:val="22"/>
          <w:szCs w:val="22"/>
        </w:rPr>
        <w:t>/A-INTERVENTOR/A</w:t>
      </w:r>
    </w:p>
    <w:p w:rsidR="008C0F21" w:rsidRPr="00466497" w:rsidRDefault="000528B4" w:rsidP="008C0F21">
      <w:pPr>
        <w:widowControl w:val="0"/>
        <w:autoSpaceDE w:val="0"/>
        <w:autoSpaceDN w:val="0"/>
        <w:adjustRightInd w:val="0"/>
        <w:spacing w:line="240" w:lineRule="atLeas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 EL/LA SECRETARIO/A</w:t>
      </w:r>
      <w:r w:rsidR="008C0F21" w:rsidRPr="00466497">
        <w:rPr>
          <w:rFonts w:ascii="Arial" w:hAnsi="Arial" w:cs="Arial"/>
          <w:sz w:val="22"/>
          <w:szCs w:val="22"/>
        </w:rPr>
        <w:t>.</w:t>
      </w:r>
    </w:p>
    <w:p w:rsidR="008C0F21" w:rsidRPr="00466497" w:rsidRDefault="008C0F21" w:rsidP="008C0F21">
      <w:pPr>
        <w:widowControl w:val="0"/>
        <w:autoSpaceDE w:val="0"/>
        <w:autoSpaceDN w:val="0"/>
        <w:adjustRightInd w:val="0"/>
        <w:spacing w:line="240" w:lineRule="atLeast"/>
        <w:jc w:val="both"/>
        <w:rPr>
          <w:rFonts w:ascii="Arial" w:hAnsi="Arial" w:cs="Arial"/>
          <w:sz w:val="22"/>
          <w:szCs w:val="22"/>
        </w:rPr>
      </w:pPr>
    </w:p>
    <w:p w:rsidR="00EE7790" w:rsidRDefault="00EE7790" w:rsidP="008C0F21">
      <w:pPr>
        <w:widowControl w:val="0"/>
        <w:autoSpaceDE w:val="0"/>
        <w:autoSpaceDN w:val="0"/>
        <w:adjustRightInd w:val="0"/>
        <w:spacing w:line="240" w:lineRule="atLeast"/>
        <w:jc w:val="both"/>
        <w:rPr>
          <w:rFonts w:ascii="Arial" w:hAnsi="Arial" w:cs="Arial"/>
          <w:sz w:val="22"/>
          <w:szCs w:val="22"/>
        </w:rPr>
      </w:pPr>
    </w:p>
    <w:p w:rsidR="00EE7790" w:rsidRDefault="00EE7790" w:rsidP="008C0F21">
      <w:pPr>
        <w:widowControl w:val="0"/>
        <w:autoSpaceDE w:val="0"/>
        <w:autoSpaceDN w:val="0"/>
        <w:adjustRightInd w:val="0"/>
        <w:spacing w:line="240" w:lineRule="atLeast"/>
        <w:jc w:val="both"/>
        <w:rPr>
          <w:rFonts w:ascii="Arial" w:hAnsi="Arial" w:cs="Arial"/>
          <w:sz w:val="22"/>
          <w:szCs w:val="22"/>
        </w:rPr>
      </w:pPr>
    </w:p>
    <w:p w:rsidR="0015705E" w:rsidRDefault="0015705E" w:rsidP="008C0F21">
      <w:pPr>
        <w:widowControl w:val="0"/>
        <w:autoSpaceDE w:val="0"/>
        <w:autoSpaceDN w:val="0"/>
        <w:adjustRightInd w:val="0"/>
        <w:spacing w:line="240" w:lineRule="atLeast"/>
        <w:jc w:val="both"/>
        <w:rPr>
          <w:rFonts w:ascii="Arial" w:hAnsi="Arial" w:cs="Arial"/>
          <w:sz w:val="22"/>
          <w:szCs w:val="22"/>
        </w:rPr>
      </w:pPr>
    </w:p>
    <w:p w:rsidR="0015705E" w:rsidRDefault="0015705E" w:rsidP="008C0F21">
      <w:pPr>
        <w:widowControl w:val="0"/>
        <w:autoSpaceDE w:val="0"/>
        <w:autoSpaceDN w:val="0"/>
        <w:adjustRightInd w:val="0"/>
        <w:spacing w:line="240" w:lineRule="atLeast"/>
        <w:jc w:val="both"/>
        <w:rPr>
          <w:rFonts w:ascii="Arial" w:hAnsi="Arial" w:cs="Arial"/>
          <w:sz w:val="22"/>
          <w:szCs w:val="22"/>
        </w:rPr>
      </w:pPr>
    </w:p>
    <w:p w:rsidR="00A6339F" w:rsidRDefault="00A6339F" w:rsidP="008C0F21">
      <w:pPr>
        <w:widowControl w:val="0"/>
        <w:autoSpaceDE w:val="0"/>
        <w:autoSpaceDN w:val="0"/>
        <w:adjustRightInd w:val="0"/>
        <w:spacing w:line="240" w:lineRule="atLeast"/>
        <w:jc w:val="both"/>
        <w:rPr>
          <w:rFonts w:ascii="Arial" w:hAnsi="Arial" w:cs="Arial"/>
          <w:sz w:val="22"/>
          <w:szCs w:val="22"/>
        </w:rPr>
      </w:pPr>
    </w:p>
    <w:p w:rsidR="00A6339F" w:rsidRDefault="00A6339F"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0528B4" w:rsidRDefault="000528B4" w:rsidP="008C0F21">
      <w:pPr>
        <w:widowControl w:val="0"/>
        <w:autoSpaceDE w:val="0"/>
        <w:autoSpaceDN w:val="0"/>
        <w:adjustRightInd w:val="0"/>
        <w:spacing w:line="240" w:lineRule="atLeast"/>
        <w:jc w:val="both"/>
        <w:rPr>
          <w:rFonts w:ascii="Arial" w:hAnsi="Arial" w:cs="Arial"/>
          <w:sz w:val="22"/>
          <w:szCs w:val="22"/>
        </w:rPr>
      </w:pPr>
    </w:p>
    <w:p w:rsidR="0015705E" w:rsidRDefault="0015705E" w:rsidP="008C0F21">
      <w:pPr>
        <w:widowControl w:val="0"/>
        <w:autoSpaceDE w:val="0"/>
        <w:autoSpaceDN w:val="0"/>
        <w:adjustRightInd w:val="0"/>
        <w:spacing w:line="240" w:lineRule="atLeast"/>
        <w:jc w:val="both"/>
        <w:rPr>
          <w:rFonts w:ascii="Arial" w:hAnsi="Arial" w:cs="Arial"/>
          <w:sz w:val="22"/>
          <w:szCs w:val="22"/>
        </w:rPr>
      </w:pPr>
    </w:p>
    <w:p w:rsidR="00661D65" w:rsidRDefault="00661D65" w:rsidP="008C0F21">
      <w:pPr>
        <w:widowControl w:val="0"/>
        <w:autoSpaceDE w:val="0"/>
        <w:autoSpaceDN w:val="0"/>
        <w:adjustRightInd w:val="0"/>
        <w:spacing w:line="240" w:lineRule="atLeast"/>
        <w:jc w:val="both"/>
        <w:rPr>
          <w:rFonts w:ascii="Arial" w:hAnsi="Arial" w:cs="Arial"/>
          <w:sz w:val="22"/>
          <w:szCs w:val="22"/>
        </w:rPr>
      </w:pPr>
    </w:p>
    <w:p w:rsidR="008C0F21" w:rsidRPr="00D0292D" w:rsidRDefault="008C0F21" w:rsidP="008C0F21">
      <w:pPr>
        <w:widowControl w:val="0"/>
        <w:autoSpaceDE w:val="0"/>
        <w:autoSpaceDN w:val="0"/>
        <w:adjustRightInd w:val="0"/>
        <w:spacing w:line="240" w:lineRule="atLeast"/>
        <w:jc w:val="both"/>
        <w:rPr>
          <w:rFonts w:ascii="Arial" w:hAnsi="Arial" w:cs="Arial"/>
          <w:sz w:val="22"/>
          <w:szCs w:val="22"/>
        </w:rPr>
      </w:pPr>
      <w:r w:rsidRPr="00D0292D">
        <w:rPr>
          <w:rFonts w:ascii="Arial" w:hAnsi="Arial" w:cs="Arial"/>
          <w:sz w:val="22"/>
          <w:szCs w:val="22"/>
        </w:rPr>
        <w:t>AYUNTAMIENTO DE ________</w:t>
      </w:r>
    </w:p>
    <w:p w:rsidR="008C0F21" w:rsidRPr="00D0292D" w:rsidRDefault="008C0F21" w:rsidP="008C0F21">
      <w:pPr>
        <w:widowControl w:val="0"/>
        <w:autoSpaceDE w:val="0"/>
        <w:autoSpaceDN w:val="0"/>
        <w:adjustRightInd w:val="0"/>
        <w:spacing w:line="240" w:lineRule="atLeast"/>
        <w:jc w:val="both"/>
        <w:rPr>
          <w:rFonts w:ascii="Arial" w:hAnsi="Arial" w:cs="Arial"/>
          <w:sz w:val="22"/>
          <w:szCs w:val="22"/>
        </w:rPr>
      </w:pPr>
    </w:p>
    <w:p w:rsidR="008C0F21" w:rsidRPr="00D0292D" w:rsidRDefault="008C0F21" w:rsidP="008C0F21">
      <w:pPr>
        <w:widowControl w:val="0"/>
        <w:autoSpaceDE w:val="0"/>
        <w:autoSpaceDN w:val="0"/>
        <w:adjustRightInd w:val="0"/>
        <w:spacing w:line="240" w:lineRule="atLeast"/>
        <w:jc w:val="both"/>
        <w:rPr>
          <w:rFonts w:ascii="Arial" w:hAnsi="Arial" w:cs="Arial"/>
          <w:sz w:val="22"/>
          <w:szCs w:val="22"/>
        </w:rPr>
      </w:pPr>
      <w:r w:rsidRPr="00D0292D">
        <w:rPr>
          <w:rFonts w:ascii="Arial" w:hAnsi="Arial" w:cs="Arial"/>
          <w:sz w:val="22"/>
          <w:szCs w:val="22"/>
        </w:rPr>
        <w:t>(PALENCIA)</w:t>
      </w:r>
      <w:r w:rsidRPr="00D0292D">
        <w:rPr>
          <w:rFonts w:ascii="Arial" w:hAnsi="Arial" w:cs="Arial"/>
          <w:sz w:val="22"/>
          <w:szCs w:val="22"/>
        </w:rPr>
        <w:tab/>
      </w:r>
    </w:p>
    <w:p w:rsidR="008C0F21" w:rsidRPr="00D0292D" w:rsidRDefault="008C0F21" w:rsidP="008C0F21">
      <w:pPr>
        <w:widowControl w:val="0"/>
        <w:autoSpaceDE w:val="0"/>
        <w:autoSpaceDN w:val="0"/>
        <w:adjustRightInd w:val="0"/>
        <w:spacing w:line="240" w:lineRule="atLeast"/>
        <w:jc w:val="both"/>
        <w:rPr>
          <w:rFonts w:ascii="Arial" w:hAnsi="Arial" w:cs="Arial"/>
          <w:sz w:val="22"/>
          <w:szCs w:val="22"/>
        </w:rPr>
      </w:pPr>
    </w:p>
    <w:p w:rsidR="008C0F21" w:rsidRPr="00D0292D" w:rsidRDefault="008C0F21" w:rsidP="008C0F21">
      <w:pPr>
        <w:widowControl w:val="0"/>
        <w:autoSpaceDE w:val="0"/>
        <w:autoSpaceDN w:val="0"/>
        <w:adjustRightInd w:val="0"/>
        <w:spacing w:line="240" w:lineRule="atLeast"/>
        <w:jc w:val="both"/>
        <w:rPr>
          <w:rFonts w:ascii="Arial" w:hAnsi="Arial" w:cs="Arial"/>
          <w:sz w:val="22"/>
          <w:szCs w:val="22"/>
        </w:rPr>
      </w:pPr>
    </w:p>
    <w:p w:rsidR="008C0F21" w:rsidRPr="00D0292D" w:rsidRDefault="008C0F21" w:rsidP="008C0F21">
      <w:pPr>
        <w:widowControl w:val="0"/>
        <w:autoSpaceDE w:val="0"/>
        <w:autoSpaceDN w:val="0"/>
        <w:adjustRightInd w:val="0"/>
        <w:spacing w:line="240" w:lineRule="atLeast"/>
        <w:jc w:val="both"/>
        <w:rPr>
          <w:rFonts w:ascii="Arial" w:hAnsi="Arial" w:cs="Arial"/>
          <w:sz w:val="22"/>
          <w:szCs w:val="22"/>
        </w:rPr>
      </w:pPr>
    </w:p>
    <w:p w:rsidR="008C0F21" w:rsidRPr="00D0292D" w:rsidRDefault="008C0F21" w:rsidP="008C0F21">
      <w:pPr>
        <w:widowControl w:val="0"/>
        <w:autoSpaceDE w:val="0"/>
        <w:autoSpaceDN w:val="0"/>
        <w:adjustRightInd w:val="0"/>
        <w:spacing w:line="240" w:lineRule="atLeast"/>
        <w:jc w:val="both"/>
        <w:rPr>
          <w:rFonts w:ascii="Arial" w:hAnsi="Arial" w:cs="Arial"/>
          <w:sz w:val="22"/>
          <w:szCs w:val="22"/>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r w:rsidRPr="00D0292D">
        <w:rPr>
          <w:rFonts w:ascii="Arial" w:hAnsi="Arial" w:cs="Arial"/>
          <w:sz w:val="22"/>
          <w:szCs w:val="22"/>
        </w:rPr>
        <w:tab/>
      </w:r>
      <w:r w:rsidRPr="00DB5230">
        <w:rPr>
          <w:rFonts w:ascii="Arial" w:hAnsi="Arial" w:cs="Arial"/>
          <w:sz w:val="21"/>
          <w:szCs w:val="21"/>
        </w:rPr>
        <w:t>Ilmo. Sr.:</w:t>
      </w: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r w:rsidRPr="00DB5230">
        <w:rPr>
          <w:rFonts w:ascii="Arial" w:hAnsi="Arial" w:cs="Arial"/>
          <w:sz w:val="21"/>
          <w:szCs w:val="21"/>
        </w:rPr>
        <w:tab/>
        <w:t xml:space="preserve">De conformidad con lo previsto en el artículo 193.5 del Real Decreto Legislativo  2/2004, de 5 de marzo, por el que se aprueba el texto refundido de </w:t>
      </w:r>
      <w:smartTag w:uri="urn:schemas-microsoft-com:office:smarttags" w:element="PersonName">
        <w:smartTagPr>
          <w:attr w:name="ProductID" w:val="la Ley Reguladora"/>
        </w:smartTagPr>
        <w:r w:rsidRPr="00DB5230">
          <w:rPr>
            <w:rFonts w:ascii="Arial" w:hAnsi="Arial" w:cs="Arial"/>
            <w:sz w:val="21"/>
            <w:szCs w:val="21"/>
          </w:rPr>
          <w:t>la Ley Reguladora</w:t>
        </w:r>
      </w:smartTag>
      <w:r w:rsidRPr="00DB5230">
        <w:rPr>
          <w:rFonts w:ascii="Arial" w:hAnsi="Arial" w:cs="Arial"/>
          <w:sz w:val="21"/>
          <w:szCs w:val="21"/>
        </w:rPr>
        <w:t xml:space="preserve"> de las Haciendas Locales, me es grato remitir copia de </w:t>
      </w:r>
      <w:smartTag w:uri="urn:schemas-microsoft-com:office:smarttags" w:element="PersonName">
        <w:smartTagPr>
          <w:attr w:name="ProductID" w:val="la Liquidaci￳n"/>
        </w:smartTagPr>
        <w:r w:rsidRPr="00DB5230">
          <w:rPr>
            <w:rFonts w:ascii="Arial" w:hAnsi="Arial" w:cs="Arial"/>
            <w:sz w:val="21"/>
            <w:szCs w:val="21"/>
          </w:rPr>
          <w:t>la Liquidación</w:t>
        </w:r>
      </w:smartTag>
      <w:r w:rsidRPr="00DB5230">
        <w:rPr>
          <w:rFonts w:ascii="Arial" w:hAnsi="Arial" w:cs="Arial"/>
          <w:sz w:val="21"/>
          <w:szCs w:val="21"/>
        </w:rPr>
        <w:t xml:space="preserve"> del Presupuesto de este Ayuntamiento correspondiente al ejercicio de 20___ debidamente aprobada.</w:t>
      </w: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r w:rsidRPr="00DB5230">
        <w:rPr>
          <w:rFonts w:ascii="Arial" w:hAnsi="Arial" w:cs="Arial"/>
          <w:sz w:val="21"/>
          <w:szCs w:val="21"/>
        </w:rPr>
        <w:tab/>
        <w:t>En __________________a ______de ________________de 20</w:t>
      </w:r>
      <w:r w:rsidR="009628EB">
        <w:rPr>
          <w:rFonts w:ascii="Arial" w:hAnsi="Arial" w:cs="Arial"/>
          <w:sz w:val="21"/>
          <w:szCs w:val="21"/>
        </w:rPr>
        <w:t>2</w:t>
      </w:r>
      <w:r w:rsidRPr="00DB5230">
        <w:rPr>
          <w:rFonts w:ascii="Arial" w:hAnsi="Arial" w:cs="Arial"/>
          <w:sz w:val="21"/>
          <w:szCs w:val="21"/>
        </w:rPr>
        <w:t>___.</w:t>
      </w: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Default="008C0F21" w:rsidP="008C0F21">
      <w:pPr>
        <w:widowControl w:val="0"/>
        <w:autoSpaceDE w:val="0"/>
        <w:autoSpaceDN w:val="0"/>
        <w:adjustRightInd w:val="0"/>
        <w:spacing w:line="240" w:lineRule="atLeast"/>
        <w:jc w:val="both"/>
        <w:rPr>
          <w:rFonts w:ascii="Arial" w:hAnsi="Arial" w:cs="Arial"/>
          <w:sz w:val="21"/>
          <w:szCs w:val="21"/>
        </w:rPr>
      </w:pPr>
      <w:r w:rsidRPr="00DB5230">
        <w:rPr>
          <w:rFonts w:ascii="Arial" w:hAnsi="Arial" w:cs="Arial"/>
          <w:sz w:val="21"/>
          <w:szCs w:val="21"/>
        </w:rPr>
        <w:tab/>
      </w:r>
      <w:r w:rsidRPr="00DB5230">
        <w:rPr>
          <w:rFonts w:ascii="Arial" w:hAnsi="Arial" w:cs="Arial"/>
          <w:sz w:val="21"/>
          <w:szCs w:val="21"/>
        </w:rPr>
        <w:tab/>
      </w:r>
      <w:r w:rsidRPr="00DB5230">
        <w:rPr>
          <w:rFonts w:ascii="Arial" w:hAnsi="Arial" w:cs="Arial"/>
          <w:sz w:val="21"/>
          <w:szCs w:val="21"/>
        </w:rPr>
        <w:tab/>
      </w:r>
      <w:r w:rsidRPr="00DB5230">
        <w:rPr>
          <w:rFonts w:ascii="Arial" w:hAnsi="Arial" w:cs="Arial"/>
          <w:sz w:val="21"/>
          <w:szCs w:val="21"/>
        </w:rPr>
        <w:tab/>
      </w:r>
      <w:r w:rsidRPr="00DB5230">
        <w:rPr>
          <w:rFonts w:ascii="Arial" w:hAnsi="Arial" w:cs="Arial"/>
          <w:sz w:val="21"/>
          <w:szCs w:val="21"/>
        </w:rPr>
        <w:tab/>
        <w:t>EL</w:t>
      </w:r>
      <w:r w:rsidR="000528B4">
        <w:rPr>
          <w:rFonts w:ascii="Arial" w:hAnsi="Arial" w:cs="Arial"/>
          <w:sz w:val="21"/>
          <w:szCs w:val="21"/>
        </w:rPr>
        <w:t>/LA ALCALDE/SA</w:t>
      </w:r>
    </w:p>
    <w:p w:rsidR="000528B4" w:rsidRDefault="000528B4" w:rsidP="008C0F21">
      <w:pPr>
        <w:widowControl w:val="0"/>
        <w:autoSpaceDE w:val="0"/>
        <w:autoSpaceDN w:val="0"/>
        <w:adjustRightInd w:val="0"/>
        <w:spacing w:line="240" w:lineRule="atLeast"/>
        <w:jc w:val="both"/>
        <w:rPr>
          <w:rFonts w:ascii="Arial" w:hAnsi="Arial" w:cs="Arial"/>
          <w:sz w:val="21"/>
          <w:szCs w:val="21"/>
        </w:rPr>
      </w:pPr>
    </w:p>
    <w:p w:rsidR="000528B4" w:rsidRDefault="000528B4" w:rsidP="008C0F21">
      <w:pPr>
        <w:widowControl w:val="0"/>
        <w:autoSpaceDE w:val="0"/>
        <w:autoSpaceDN w:val="0"/>
        <w:adjustRightInd w:val="0"/>
        <w:spacing w:line="240" w:lineRule="atLeast"/>
        <w:jc w:val="both"/>
        <w:rPr>
          <w:rFonts w:ascii="Arial" w:hAnsi="Arial" w:cs="Arial"/>
          <w:sz w:val="21"/>
          <w:szCs w:val="21"/>
        </w:rPr>
      </w:pPr>
    </w:p>
    <w:p w:rsidR="000528B4" w:rsidRDefault="000528B4" w:rsidP="008C0F21">
      <w:pPr>
        <w:widowControl w:val="0"/>
        <w:autoSpaceDE w:val="0"/>
        <w:autoSpaceDN w:val="0"/>
        <w:adjustRightInd w:val="0"/>
        <w:spacing w:line="240" w:lineRule="atLeast"/>
        <w:jc w:val="both"/>
        <w:rPr>
          <w:rFonts w:ascii="Arial" w:hAnsi="Arial" w:cs="Arial"/>
          <w:sz w:val="21"/>
          <w:szCs w:val="21"/>
        </w:rPr>
      </w:pPr>
    </w:p>
    <w:p w:rsidR="000528B4" w:rsidRDefault="000528B4" w:rsidP="008C0F21">
      <w:pPr>
        <w:widowControl w:val="0"/>
        <w:autoSpaceDE w:val="0"/>
        <w:autoSpaceDN w:val="0"/>
        <w:adjustRightInd w:val="0"/>
        <w:spacing w:line="240" w:lineRule="atLeast"/>
        <w:jc w:val="both"/>
        <w:rPr>
          <w:rFonts w:ascii="Arial" w:hAnsi="Arial" w:cs="Arial"/>
          <w:sz w:val="21"/>
          <w:szCs w:val="21"/>
        </w:rPr>
      </w:pPr>
    </w:p>
    <w:p w:rsidR="000528B4" w:rsidRPr="00DB5230" w:rsidRDefault="000528B4" w:rsidP="000528B4">
      <w:pPr>
        <w:widowControl w:val="0"/>
        <w:autoSpaceDE w:val="0"/>
        <w:autoSpaceDN w:val="0"/>
        <w:adjustRightInd w:val="0"/>
        <w:spacing w:line="240" w:lineRule="atLeast"/>
        <w:jc w:val="center"/>
        <w:rPr>
          <w:rFonts w:ascii="Arial" w:hAnsi="Arial" w:cs="Arial"/>
          <w:sz w:val="21"/>
          <w:szCs w:val="21"/>
        </w:rPr>
      </w:pPr>
      <w:r>
        <w:rPr>
          <w:rFonts w:ascii="Arial" w:hAnsi="Arial" w:cs="Arial"/>
          <w:sz w:val="21"/>
          <w:szCs w:val="21"/>
        </w:rPr>
        <w:t>Fdo.: _________________________</w:t>
      </w: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r w:rsidRPr="00DB5230">
        <w:rPr>
          <w:rFonts w:ascii="Arial" w:hAnsi="Arial" w:cs="Arial"/>
          <w:sz w:val="21"/>
          <w:szCs w:val="21"/>
        </w:rPr>
        <w:t xml:space="preserve">Ilmo. Sr. Delegado Territorial de </w:t>
      </w:r>
      <w:smartTag w:uri="urn:schemas-microsoft-com:office:smarttags" w:element="PersonName">
        <w:smartTagPr>
          <w:attr w:name="ProductID" w:val="la Junta"/>
        </w:smartTagPr>
        <w:r w:rsidRPr="00DB5230">
          <w:rPr>
            <w:rFonts w:ascii="Arial" w:hAnsi="Arial" w:cs="Arial"/>
            <w:sz w:val="21"/>
            <w:szCs w:val="21"/>
          </w:rPr>
          <w:t>la Junta</w:t>
        </w:r>
      </w:smartTag>
      <w:r w:rsidRPr="00DB5230">
        <w:rPr>
          <w:rFonts w:ascii="Arial" w:hAnsi="Arial" w:cs="Arial"/>
          <w:sz w:val="21"/>
          <w:szCs w:val="21"/>
        </w:rPr>
        <w:t xml:space="preserve"> de Castilla y León.           </w:t>
      </w: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r w:rsidRPr="00DB5230">
        <w:rPr>
          <w:rFonts w:ascii="Arial" w:hAnsi="Arial" w:cs="Arial"/>
          <w:sz w:val="21"/>
          <w:szCs w:val="21"/>
        </w:rPr>
        <w:t xml:space="preserve">Avda. Casado del Alisal, 27.  </w:t>
      </w: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r w:rsidRPr="00DB5230">
        <w:rPr>
          <w:rFonts w:ascii="Arial" w:hAnsi="Arial" w:cs="Arial"/>
          <w:sz w:val="21"/>
          <w:szCs w:val="21"/>
          <w:u w:val="single"/>
        </w:rPr>
        <w:t>34001.-PALENCIA</w:t>
      </w: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p>
    <w:p w:rsidR="008C0F21" w:rsidRPr="00DB5230" w:rsidRDefault="008C0F21" w:rsidP="008C0F21">
      <w:pPr>
        <w:widowControl w:val="0"/>
        <w:autoSpaceDE w:val="0"/>
        <w:autoSpaceDN w:val="0"/>
        <w:adjustRightInd w:val="0"/>
        <w:spacing w:line="240" w:lineRule="atLeast"/>
        <w:jc w:val="both"/>
        <w:rPr>
          <w:rFonts w:ascii="Arial" w:hAnsi="Arial" w:cs="Arial"/>
          <w:sz w:val="21"/>
          <w:szCs w:val="21"/>
        </w:rPr>
      </w:pPr>
      <w:r w:rsidRPr="00791371">
        <w:rPr>
          <w:rFonts w:ascii="Arial" w:hAnsi="Arial" w:cs="Arial"/>
          <w:sz w:val="21"/>
          <w:szCs w:val="21"/>
          <w:highlight w:val="yellow"/>
        </w:rPr>
        <w:t>NOTA: La remis</w:t>
      </w:r>
      <w:r w:rsidR="00C575DB">
        <w:rPr>
          <w:rFonts w:ascii="Arial" w:hAnsi="Arial" w:cs="Arial"/>
          <w:sz w:val="21"/>
          <w:szCs w:val="21"/>
          <w:highlight w:val="yellow"/>
        </w:rPr>
        <w:t>ión de  la liquidación al MINHA</w:t>
      </w:r>
      <w:r w:rsidR="00485FBC">
        <w:rPr>
          <w:rFonts w:ascii="Arial" w:hAnsi="Arial" w:cs="Arial"/>
          <w:sz w:val="21"/>
          <w:szCs w:val="21"/>
          <w:highlight w:val="yellow"/>
        </w:rPr>
        <w:t>FP</w:t>
      </w:r>
      <w:r w:rsidRPr="00791371">
        <w:rPr>
          <w:rFonts w:ascii="Arial" w:hAnsi="Arial" w:cs="Arial"/>
          <w:sz w:val="21"/>
          <w:szCs w:val="21"/>
          <w:highlight w:val="yellow"/>
        </w:rPr>
        <w:t xml:space="preserve"> se hará a través de la Oficina virtual de Coordinación financiera Entidades Locales</w:t>
      </w:r>
    </w:p>
    <w:p w:rsidR="008C0F21" w:rsidRPr="00DB5230" w:rsidRDefault="008C0F21" w:rsidP="008C0F21">
      <w:pPr>
        <w:jc w:val="both"/>
        <w:rPr>
          <w:rFonts w:ascii="Arial" w:hAnsi="Arial" w:cs="Arial"/>
          <w:sz w:val="21"/>
          <w:szCs w:val="21"/>
        </w:rPr>
      </w:pPr>
    </w:p>
    <w:sectPr w:rsidR="008C0F21" w:rsidRPr="00DB5230" w:rsidSect="00165920">
      <w:headerReference w:type="default" r:id="rId9"/>
      <w:pgSz w:w="11906" w:h="16838"/>
      <w:pgMar w:top="2239" w:right="1558"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D5" w:rsidRDefault="003511D5" w:rsidP="008C0F21">
      <w:r>
        <w:separator/>
      </w:r>
    </w:p>
  </w:endnote>
  <w:endnote w:type="continuationSeparator" w:id="0">
    <w:p w:rsidR="003511D5" w:rsidRDefault="003511D5" w:rsidP="008C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lato_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D5" w:rsidRDefault="003511D5" w:rsidP="008C0F21">
      <w:r>
        <w:separator/>
      </w:r>
    </w:p>
  </w:footnote>
  <w:footnote w:type="continuationSeparator" w:id="0">
    <w:p w:rsidR="003511D5" w:rsidRDefault="003511D5" w:rsidP="008C0F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1D5" w:rsidRDefault="003511D5">
    <w:pPr>
      <w:pStyle w:val="Encabezado"/>
    </w:pPr>
    <w:r w:rsidRPr="00F56710">
      <w:rPr>
        <w:noProof/>
      </w:rPr>
      <w:drawing>
        <wp:inline distT="0" distB="0" distL="0" distR="0">
          <wp:extent cx="1857375" cy="742950"/>
          <wp:effectExtent l="19050" t="0" r="9525" b="0"/>
          <wp:docPr id="2" name="Imagen 1">
            <a:extLst xmlns:a="http://schemas.openxmlformats.org/drawingml/2006/main">
              <a:ext uri="{FF2B5EF4-FFF2-40B4-BE49-F238E27FC236}">
                <a16:creationId xmlns:a16="http://schemas.microsoft.com/office/drawing/2014/main" id="{9F03014B-4AC9-41A4-8A76-F06E6D8D49BB}"/>
              </a:ext>
            </a:extLst>
          </wp:docPr>
          <wp:cNvGraphicFramePr/>
          <a:graphic xmlns:a="http://schemas.openxmlformats.org/drawingml/2006/main">
            <a:graphicData uri="http://schemas.openxmlformats.org/drawingml/2006/picture">
              <pic:pic xmlns:pic="http://schemas.openxmlformats.org/drawingml/2006/picture">
                <pic:nvPicPr>
                  <pic:cNvPr id="2" name="Imagen 3">
                    <a:extLst>
                      <a:ext uri="{FF2B5EF4-FFF2-40B4-BE49-F238E27FC236}">
                        <a16:creationId xmlns:a16="http://schemas.microsoft.com/office/drawing/2014/main" id="{9F03014B-4AC9-41A4-8A76-F06E6D8D49BB}"/>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72E"/>
    <w:multiLevelType w:val="hybridMultilevel"/>
    <w:tmpl w:val="D1DA4FC0"/>
    <w:lvl w:ilvl="0" w:tplc="F3DCE532">
      <w:start w:val="1"/>
      <w:numFmt w:val="bullet"/>
      <w:lvlText w:val=""/>
      <w:lvlJc w:val="left"/>
      <w:pPr>
        <w:ind w:left="1429" w:hanging="360"/>
      </w:pPr>
      <w:rPr>
        <w:rFonts w:ascii="Symbol" w:hAnsi="Symbol" w:hint="default"/>
        <w:sz w:val="2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DB91B4E"/>
    <w:multiLevelType w:val="hybridMultilevel"/>
    <w:tmpl w:val="875C49E0"/>
    <w:lvl w:ilvl="0" w:tplc="3B663A4E">
      <w:start w:val="1"/>
      <w:numFmt w:val="bullet"/>
      <w:lvlText w:val=""/>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0B399E"/>
    <w:multiLevelType w:val="hybridMultilevel"/>
    <w:tmpl w:val="3C4A4792"/>
    <w:lvl w:ilvl="0" w:tplc="0C0A0001">
      <w:start w:val="1"/>
      <w:numFmt w:val="bullet"/>
      <w:lvlText w:val=""/>
      <w:lvlJc w:val="left"/>
      <w:pPr>
        <w:ind w:left="1424" w:hanging="360"/>
      </w:pPr>
      <w:rPr>
        <w:rFonts w:ascii="Symbol" w:hAnsi="Symbol" w:hint="default"/>
      </w:rPr>
    </w:lvl>
    <w:lvl w:ilvl="1" w:tplc="0C0A0003" w:tentative="1">
      <w:start w:val="1"/>
      <w:numFmt w:val="bullet"/>
      <w:lvlText w:val="o"/>
      <w:lvlJc w:val="left"/>
      <w:pPr>
        <w:ind w:left="2144" w:hanging="360"/>
      </w:pPr>
      <w:rPr>
        <w:rFonts w:ascii="Courier New" w:hAnsi="Courier New" w:cs="Courier New" w:hint="default"/>
      </w:rPr>
    </w:lvl>
    <w:lvl w:ilvl="2" w:tplc="0C0A0005" w:tentative="1">
      <w:start w:val="1"/>
      <w:numFmt w:val="bullet"/>
      <w:lvlText w:val=""/>
      <w:lvlJc w:val="left"/>
      <w:pPr>
        <w:ind w:left="2864" w:hanging="360"/>
      </w:pPr>
      <w:rPr>
        <w:rFonts w:ascii="Wingdings" w:hAnsi="Wingdings" w:hint="default"/>
      </w:rPr>
    </w:lvl>
    <w:lvl w:ilvl="3" w:tplc="0C0A0001" w:tentative="1">
      <w:start w:val="1"/>
      <w:numFmt w:val="bullet"/>
      <w:lvlText w:val=""/>
      <w:lvlJc w:val="left"/>
      <w:pPr>
        <w:ind w:left="3584" w:hanging="360"/>
      </w:pPr>
      <w:rPr>
        <w:rFonts w:ascii="Symbol" w:hAnsi="Symbol" w:hint="default"/>
      </w:rPr>
    </w:lvl>
    <w:lvl w:ilvl="4" w:tplc="0C0A0003" w:tentative="1">
      <w:start w:val="1"/>
      <w:numFmt w:val="bullet"/>
      <w:lvlText w:val="o"/>
      <w:lvlJc w:val="left"/>
      <w:pPr>
        <w:ind w:left="4304" w:hanging="360"/>
      </w:pPr>
      <w:rPr>
        <w:rFonts w:ascii="Courier New" w:hAnsi="Courier New" w:cs="Courier New" w:hint="default"/>
      </w:rPr>
    </w:lvl>
    <w:lvl w:ilvl="5" w:tplc="0C0A0005" w:tentative="1">
      <w:start w:val="1"/>
      <w:numFmt w:val="bullet"/>
      <w:lvlText w:val=""/>
      <w:lvlJc w:val="left"/>
      <w:pPr>
        <w:ind w:left="5024" w:hanging="360"/>
      </w:pPr>
      <w:rPr>
        <w:rFonts w:ascii="Wingdings" w:hAnsi="Wingdings" w:hint="default"/>
      </w:rPr>
    </w:lvl>
    <w:lvl w:ilvl="6" w:tplc="0C0A0001" w:tentative="1">
      <w:start w:val="1"/>
      <w:numFmt w:val="bullet"/>
      <w:lvlText w:val=""/>
      <w:lvlJc w:val="left"/>
      <w:pPr>
        <w:ind w:left="5744" w:hanging="360"/>
      </w:pPr>
      <w:rPr>
        <w:rFonts w:ascii="Symbol" w:hAnsi="Symbol" w:hint="default"/>
      </w:rPr>
    </w:lvl>
    <w:lvl w:ilvl="7" w:tplc="0C0A0003" w:tentative="1">
      <w:start w:val="1"/>
      <w:numFmt w:val="bullet"/>
      <w:lvlText w:val="o"/>
      <w:lvlJc w:val="left"/>
      <w:pPr>
        <w:ind w:left="6464" w:hanging="360"/>
      </w:pPr>
      <w:rPr>
        <w:rFonts w:ascii="Courier New" w:hAnsi="Courier New" w:cs="Courier New" w:hint="default"/>
      </w:rPr>
    </w:lvl>
    <w:lvl w:ilvl="8" w:tplc="0C0A0005" w:tentative="1">
      <w:start w:val="1"/>
      <w:numFmt w:val="bullet"/>
      <w:lvlText w:val=""/>
      <w:lvlJc w:val="left"/>
      <w:pPr>
        <w:ind w:left="7184" w:hanging="360"/>
      </w:pPr>
      <w:rPr>
        <w:rFonts w:ascii="Wingdings" w:hAnsi="Wingdings" w:hint="default"/>
      </w:rPr>
    </w:lvl>
  </w:abstractNum>
  <w:abstractNum w:abstractNumId="3" w15:restartNumberingAfterBreak="0">
    <w:nsid w:val="215A3FFC"/>
    <w:multiLevelType w:val="hybridMultilevel"/>
    <w:tmpl w:val="A5CAC752"/>
    <w:lvl w:ilvl="0" w:tplc="F3DCE532">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BF1572"/>
    <w:multiLevelType w:val="hybridMultilevel"/>
    <w:tmpl w:val="640ECC84"/>
    <w:lvl w:ilvl="0" w:tplc="53F6727A">
      <w:start w:val="1"/>
      <w:numFmt w:val="bullet"/>
      <w:lvlText w:val=""/>
      <w:lvlJc w:val="left"/>
      <w:pPr>
        <w:ind w:left="1070" w:hanging="360"/>
      </w:pPr>
      <w:rPr>
        <w:rFonts w:ascii="Wingdings" w:hAnsi="Wingdings" w:hint="default"/>
        <w:color w:val="0000FF"/>
        <w:sz w:val="28"/>
      </w:rPr>
    </w:lvl>
    <w:lvl w:ilvl="1" w:tplc="0C0A0003" w:tentative="1">
      <w:start w:val="1"/>
      <w:numFmt w:val="bullet"/>
      <w:lvlText w:val="o"/>
      <w:lvlJc w:val="left"/>
      <w:pPr>
        <w:ind w:left="1085" w:hanging="360"/>
      </w:pPr>
      <w:rPr>
        <w:rFonts w:ascii="Courier New" w:hAnsi="Courier New" w:cs="Courier New" w:hint="default"/>
      </w:rPr>
    </w:lvl>
    <w:lvl w:ilvl="2" w:tplc="0C0A0005" w:tentative="1">
      <w:start w:val="1"/>
      <w:numFmt w:val="bullet"/>
      <w:lvlText w:val=""/>
      <w:lvlJc w:val="left"/>
      <w:pPr>
        <w:ind w:left="1805" w:hanging="360"/>
      </w:pPr>
      <w:rPr>
        <w:rFonts w:ascii="Wingdings" w:hAnsi="Wingdings" w:hint="default"/>
      </w:rPr>
    </w:lvl>
    <w:lvl w:ilvl="3" w:tplc="0C0A0001" w:tentative="1">
      <w:start w:val="1"/>
      <w:numFmt w:val="bullet"/>
      <w:lvlText w:val=""/>
      <w:lvlJc w:val="left"/>
      <w:pPr>
        <w:ind w:left="2525" w:hanging="360"/>
      </w:pPr>
      <w:rPr>
        <w:rFonts w:ascii="Symbol" w:hAnsi="Symbol" w:hint="default"/>
      </w:rPr>
    </w:lvl>
    <w:lvl w:ilvl="4" w:tplc="0C0A0003" w:tentative="1">
      <w:start w:val="1"/>
      <w:numFmt w:val="bullet"/>
      <w:lvlText w:val="o"/>
      <w:lvlJc w:val="left"/>
      <w:pPr>
        <w:ind w:left="3245" w:hanging="360"/>
      </w:pPr>
      <w:rPr>
        <w:rFonts w:ascii="Courier New" w:hAnsi="Courier New" w:cs="Courier New" w:hint="default"/>
      </w:rPr>
    </w:lvl>
    <w:lvl w:ilvl="5" w:tplc="0C0A0005" w:tentative="1">
      <w:start w:val="1"/>
      <w:numFmt w:val="bullet"/>
      <w:lvlText w:val=""/>
      <w:lvlJc w:val="left"/>
      <w:pPr>
        <w:ind w:left="3965" w:hanging="360"/>
      </w:pPr>
      <w:rPr>
        <w:rFonts w:ascii="Wingdings" w:hAnsi="Wingdings" w:hint="default"/>
      </w:rPr>
    </w:lvl>
    <w:lvl w:ilvl="6" w:tplc="0C0A0001" w:tentative="1">
      <w:start w:val="1"/>
      <w:numFmt w:val="bullet"/>
      <w:lvlText w:val=""/>
      <w:lvlJc w:val="left"/>
      <w:pPr>
        <w:ind w:left="4685" w:hanging="360"/>
      </w:pPr>
      <w:rPr>
        <w:rFonts w:ascii="Symbol" w:hAnsi="Symbol" w:hint="default"/>
      </w:rPr>
    </w:lvl>
    <w:lvl w:ilvl="7" w:tplc="0C0A0003" w:tentative="1">
      <w:start w:val="1"/>
      <w:numFmt w:val="bullet"/>
      <w:lvlText w:val="o"/>
      <w:lvlJc w:val="left"/>
      <w:pPr>
        <w:ind w:left="5405" w:hanging="360"/>
      </w:pPr>
      <w:rPr>
        <w:rFonts w:ascii="Courier New" w:hAnsi="Courier New" w:cs="Courier New" w:hint="default"/>
      </w:rPr>
    </w:lvl>
    <w:lvl w:ilvl="8" w:tplc="0C0A0005" w:tentative="1">
      <w:start w:val="1"/>
      <w:numFmt w:val="bullet"/>
      <w:lvlText w:val=""/>
      <w:lvlJc w:val="left"/>
      <w:pPr>
        <w:ind w:left="6125" w:hanging="360"/>
      </w:pPr>
      <w:rPr>
        <w:rFonts w:ascii="Wingdings" w:hAnsi="Wingdings" w:hint="default"/>
      </w:rPr>
    </w:lvl>
  </w:abstractNum>
  <w:abstractNum w:abstractNumId="5" w15:restartNumberingAfterBreak="0">
    <w:nsid w:val="29D03C26"/>
    <w:multiLevelType w:val="multilevel"/>
    <w:tmpl w:val="ECB2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B7D9F"/>
    <w:multiLevelType w:val="hybridMultilevel"/>
    <w:tmpl w:val="F5880DF4"/>
    <w:lvl w:ilvl="0" w:tplc="DA58F42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020EB5"/>
    <w:multiLevelType w:val="multilevel"/>
    <w:tmpl w:val="D9DA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A28F5"/>
    <w:multiLevelType w:val="hybridMultilevel"/>
    <w:tmpl w:val="93769B5C"/>
    <w:lvl w:ilvl="0" w:tplc="8DCE8AFE">
      <w:start w:val="2"/>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E9F0B51"/>
    <w:multiLevelType w:val="hybridMultilevel"/>
    <w:tmpl w:val="A5BA587E"/>
    <w:lvl w:ilvl="0" w:tplc="F3DCE532">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5F3B0A"/>
    <w:multiLevelType w:val="hybridMultilevel"/>
    <w:tmpl w:val="563E1478"/>
    <w:lvl w:ilvl="0" w:tplc="72DCFE26">
      <w:start w:val="1"/>
      <w:numFmt w:val="none"/>
      <w:lvlText w:val="-"/>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D9107C"/>
    <w:multiLevelType w:val="multilevel"/>
    <w:tmpl w:val="0D2C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969D3"/>
    <w:multiLevelType w:val="singleLevel"/>
    <w:tmpl w:val="79BED094"/>
    <w:lvl w:ilvl="0">
      <w:numFmt w:val="bullet"/>
      <w:lvlText w:val=""/>
      <w:lvlJc w:val="left"/>
      <w:pPr>
        <w:tabs>
          <w:tab w:val="num" w:pos="1920"/>
        </w:tabs>
        <w:ind w:left="1920" w:hanging="360"/>
      </w:pPr>
      <w:rPr>
        <w:rFonts w:ascii="Symbol" w:hAnsi="Symbol" w:hint="default"/>
      </w:rPr>
    </w:lvl>
  </w:abstractNum>
  <w:abstractNum w:abstractNumId="13" w15:restartNumberingAfterBreak="0">
    <w:nsid w:val="5D88643A"/>
    <w:multiLevelType w:val="hybridMultilevel"/>
    <w:tmpl w:val="634E198C"/>
    <w:lvl w:ilvl="0" w:tplc="F3DCE532">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167DC3"/>
    <w:multiLevelType w:val="multilevel"/>
    <w:tmpl w:val="F770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A7507"/>
    <w:multiLevelType w:val="hybridMultilevel"/>
    <w:tmpl w:val="04BAC426"/>
    <w:lvl w:ilvl="0" w:tplc="F3DCE532">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C3B5051"/>
    <w:multiLevelType w:val="hybridMultilevel"/>
    <w:tmpl w:val="670A4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28D6D0B"/>
    <w:multiLevelType w:val="multilevel"/>
    <w:tmpl w:val="3BAA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15DD"/>
    <w:multiLevelType w:val="hybridMultilevel"/>
    <w:tmpl w:val="F5DA5790"/>
    <w:lvl w:ilvl="0" w:tplc="103078C0">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7402856"/>
    <w:multiLevelType w:val="multilevel"/>
    <w:tmpl w:val="437A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A5A51"/>
    <w:multiLevelType w:val="hybridMultilevel"/>
    <w:tmpl w:val="04B6018E"/>
    <w:lvl w:ilvl="0" w:tplc="F3DCE532">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8"/>
  </w:num>
  <w:num w:numId="4">
    <w:abstractNumId w:val="12"/>
  </w:num>
  <w:num w:numId="5">
    <w:abstractNumId w:val="20"/>
  </w:num>
  <w:num w:numId="6">
    <w:abstractNumId w:val="5"/>
  </w:num>
  <w:num w:numId="7">
    <w:abstractNumId w:val="7"/>
  </w:num>
  <w:num w:numId="8">
    <w:abstractNumId w:val="19"/>
  </w:num>
  <w:num w:numId="9">
    <w:abstractNumId w:val="17"/>
  </w:num>
  <w:num w:numId="10">
    <w:abstractNumId w:val="11"/>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3"/>
  </w:num>
  <w:num w:numId="14">
    <w:abstractNumId w:val="9"/>
  </w:num>
  <w:num w:numId="15">
    <w:abstractNumId w:val="0"/>
  </w:num>
  <w:num w:numId="16">
    <w:abstractNumId w:val="14"/>
  </w:num>
  <w:num w:numId="17">
    <w:abstractNumId w:val="15"/>
  </w:num>
  <w:num w:numId="18">
    <w:abstractNumId w:val="3"/>
  </w:num>
  <w:num w:numId="19">
    <w:abstractNumId w:val="4"/>
  </w:num>
  <w:num w:numId="20">
    <w:abstractNumId w:val="1"/>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21"/>
    <w:rsid w:val="000007C9"/>
    <w:rsid w:val="00000A29"/>
    <w:rsid w:val="00001CD1"/>
    <w:rsid w:val="00002452"/>
    <w:rsid w:val="000054CE"/>
    <w:rsid w:val="000060AC"/>
    <w:rsid w:val="0000650C"/>
    <w:rsid w:val="000066D8"/>
    <w:rsid w:val="00007469"/>
    <w:rsid w:val="000078FE"/>
    <w:rsid w:val="00007A2E"/>
    <w:rsid w:val="0001083C"/>
    <w:rsid w:val="00012F51"/>
    <w:rsid w:val="00013D50"/>
    <w:rsid w:val="00014517"/>
    <w:rsid w:val="000155F4"/>
    <w:rsid w:val="00017BFC"/>
    <w:rsid w:val="00020DD7"/>
    <w:rsid w:val="000218D0"/>
    <w:rsid w:val="000222D6"/>
    <w:rsid w:val="00025C2B"/>
    <w:rsid w:val="00027D44"/>
    <w:rsid w:val="00027EBC"/>
    <w:rsid w:val="00030485"/>
    <w:rsid w:val="00032542"/>
    <w:rsid w:val="00032DA7"/>
    <w:rsid w:val="00032F15"/>
    <w:rsid w:val="00033B7F"/>
    <w:rsid w:val="00034503"/>
    <w:rsid w:val="0003634D"/>
    <w:rsid w:val="000372DE"/>
    <w:rsid w:val="000373FE"/>
    <w:rsid w:val="00040772"/>
    <w:rsid w:val="000415A7"/>
    <w:rsid w:val="000429F3"/>
    <w:rsid w:val="00044041"/>
    <w:rsid w:val="00044406"/>
    <w:rsid w:val="0004447B"/>
    <w:rsid w:val="00044B28"/>
    <w:rsid w:val="00045F32"/>
    <w:rsid w:val="0004669D"/>
    <w:rsid w:val="00046AC0"/>
    <w:rsid w:val="00047F8F"/>
    <w:rsid w:val="00050B2D"/>
    <w:rsid w:val="00050D55"/>
    <w:rsid w:val="0005192F"/>
    <w:rsid w:val="000528B4"/>
    <w:rsid w:val="000560D2"/>
    <w:rsid w:val="0005611A"/>
    <w:rsid w:val="00056D09"/>
    <w:rsid w:val="00056FED"/>
    <w:rsid w:val="00061B9E"/>
    <w:rsid w:val="00061F14"/>
    <w:rsid w:val="0006250A"/>
    <w:rsid w:val="00062632"/>
    <w:rsid w:val="00062C59"/>
    <w:rsid w:val="0006430B"/>
    <w:rsid w:val="000647FF"/>
    <w:rsid w:val="00067841"/>
    <w:rsid w:val="00070EB0"/>
    <w:rsid w:val="00072D35"/>
    <w:rsid w:val="000736AF"/>
    <w:rsid w:val="000743E8"/>
    <w:rsid w:val="00077806"/>
    <w:rsid w:val="00077882"/>
    <w:rsid w:val="00083DC1"/>
    <w:rsid w:val="00084F62"/>
    <w:rsid w:val="00085C48"/>
    <w:rsid w:val="00087E8E"/>
    <w:rsid w:val="00091A17"/>
    <w:rsid w:val="0009219B"/>
    <w:rsid w:val="00093342"/>
    <w:rsid w:val="00095AED"/>
    <w:rsid w:val="000964A2"/>
    <w:rsid w:val="0009793A"/>
    <w:rsid w:val="000A09AD"/>
    <w:rsid w:val="000A0EBA"/>
    <w:rsid w:val="000A1005"/>
    <w:rsid w:val="000A1CF3"/>
    <w:rsid w:val="000A2D05"/>
    <w:rsid w:val="000A53CD"/>
    <w:rsid w:val="000A6AAC"/>
    <w:rsid w:val="000A6ACE"/>
    <w:rsid w:val="000B0BBB"/>
    <w:rsid w:val="000B20FF"/>
    <w:rsid w:val="000B2728"/>
    <w:rsid w:val="000B28EC"/>
    <w:rsid w:val="000B29FF"/>
    <w:rsid w:val="000B51EE"/>
    <w:rsid w:val="000B7507"/>
    <w:rsid w:val="000C0C01"/>
    <w:rsid w:val="000C0D4F"/>
    <w:rsid w:val="000C1730"/>
    <w:rsid w:val="000C6879"/>
    <w:rsid w:val="000C6E45"/>
    <w:rsid w:val="000D0253"/>
    <w:rsid w:val="000D1C61"/>
    <w:rsid w:val="000D3A55"/>
    <w:rsid w:val="000D3CBD"/>
    <w:rsid w:val="000D5F21"/>
    <w:rsid w:val="000D6B5E"/>
    <w:rsid w:val="000D7070"/>
    <w:rsid w:val="000D7233"/>
    <w:rsid w:val="000D7AC5"/>
    <w:rsid w:val="000E058B"/>
    <w:rsid w:val="000E0A5B"/>
    <w:rsid w:val="000E0CAA"/>
    <w:rsid w:val="000E0F6F"/>
    <w:rsid w:val="000E2A25"/>
    <w:rsid w:val="000E34D5"/>
    <w:rsid w:val="000E3BDB"/>
    <w:rsid w:val="000E4C96"/>
    <w:rsid w:val="000E6322"/>
    <w:rsid w:val="000E7FA4"/>
    <w:rsid w:val="000F029E"/>
    <w:rsid w:val="000F384E"/>
    <w:rsid w:val="000F3EC1"/>
    <w:rsid w:val="000F4681"/>
    <w:rsid w:val="0010020E"/>
    <w:rsid w:val="0010033E"/>
    <w:rsid w:val="00100867"/>
    <w:rsid w:val="00100BE6"/>
    <w:rsid w:val="0010148B"/>
    <w:rsid w:val="001015B2"/>
    <w:rsid w:val="00101FB3"/>
    <w:rsid w:val="00102129"/>
    <w:rsid w:val="0010243B"/>
    <w:rsid w:val="0010303D"/>
    <w:rsid w:val="001046EA"/>
    <w:rsid w:val="0010592D"/>
    <w:rsid w:val="00107B89"/>
    <w:rsid w:val="001116B9"/>
    <w:rsid w:val="001118AC"/>
    <w:rsid w:val="00112B31"/>
    <w:rsid w:val="00112F39"/>
    <w:rsid w:val="001177C9"/>
    <w:rsid w:val="00117F38"/>
    <w:rsid w:val="00120148"/>
    <w:rsid w:val="001204A7"/>
    <w:rsid w:val="00120AA8"/>
    <w:rsid w:val="00122D8F"/>
    <w:rsid w:val="00123191"/>
    <w:rsid w:val="00123B68"/>
    <w:rsid w:val="00123FAD"/>
    <w:rsid w:val="001252CB"/>
    <w:rsid w:val="001253FF"/>
    <w:rsid w:val="0012604D"/>
    <w:rsid w:val="00126F1E"/>
    <w:rsid w:val="0012784C"/>
    <w:rsid w:val="00132939"/>
    <w:rsid w:val="00132967"/>
    <w:rsid w:val="00132A8E"/>
    <w:rsid w:val="001330A0"/>
    <w:rsid w:val="0013434A"/>
    <w:rsid w:val="00134404"/>
    <w:rsid w:val="00134589"/>
    <w:rsid w:val="0014039A"/>
    <w:rsid w:val="0014161D"/>
    <w:rsid w:val="001431A3"/>
    <w:rsid w:val="00143545"/>
    <w:rsid w:val="001436DB"/>
    <w:rsid w:val="00143C1E"/>
    <w:rsid w:val="00145840"/>
    <w:rsid w:val="00145FC0"/>
    <w:rsid w:val="0014627C"/>
    <w:rsid w:val="001462B0"/>
    <w:rsid w:val="001514FF"/>
    <w:rsid w:val="001527C8"/>
    <w:rsid w:val="001528F5"/>
    <w:rsid w:val="0015705E"/>
    <w:rsid w:val="0015777B"/>
    <w:rsid w:val="001619D4"/>
    <w:rsid w:val="00161AE3"/>
    <w:rsid w:val="00161BDB"/>
    <w:rsid w:val="00161C1E"/>
    <w:rsid w:val="001628B9"/>
    <w:rsid w:val="00162E7B"/>
    <w:rsid w:val="0016355B"/>
    <w:rsid w:val="00163C61"/>
    <w:rsid w:val="0016581B"/>
    <w:rsid w:val="00165920"/>
    <w:rsid w:val="001668A9"/>
    <w:rsid w:val="00166D4D"/>
    <w:rsid w:val="001701DE"/>
    <w:rsid w:val="00175CC1"/>
    <w:rsid w:val="00176097"/>
    <w:rsid w:val="00177300"/>
    <w:rsid w:val="00180720"/>
    <w:rsid w:val="001808AA"/>
    <w:rsid w:val="001816F7"/>
    <w:rsid w:val="0018183B"/>
    <w:rsid w:val="00182463"/>
    <w:rsid w:val="00182602"/>
    <w:rsid w:val="00182A7D"/>
    <w:rsid w:val="00185202"/>
    <w:rsid w:val="001869D9"/>
    <w:rsid w:val="00187092"/>
    <w:rsid w:val="001927B5"/>
    <w:rsid w:val="0019284C"/>
    <w:rsid w:val="00193CF2"/>
    <w:rsid w:val="001942B1"/>
    <w:rsid w:val="00195A19"/>
    <w:rsid w:val="00197710"/>
    <w:rsid w:val="001979C0"/>
    <w:rsid w:val="001A03E7"/>
    <w:rsid w:val="001A07AD"/>
    <w:rsid w:val="001A1621"/>
    <w:rsid w:val="001A27C1"/>
    <w:rsid w:val="001A3E67"/>
    <w:rsid w:val="001A55F5"/>
    <w:rsid w:val="001A7B07"/>
    <w:rsid w:val="001B0242"/>
    <w:rsid w:val="001B2029"/>
    <w:rsid w:val="001B36F5"/>
    <w:rsid w:val="001B4441"/>
    <w:rsid w:val="001B4512"/>
    <w:rsid w:val="001B4C46"/>
    <w:rsid w:val="001B5191"/>
    <w:rsid w:val="001B52FE"/>
    <w:rsid w:val="001B5577"/>
    <w:rsid w:val="001B65ED"/>
    <w:rsid w:val="001B6B5F"/>
    <w:rsid w:val="001B7376"/>
    <w:rsid w:val="001C01B5"/>
    <w:rsid w:val="001C2672"/>
    <w:rsid w:val="001C3302"/>
    <w:rsid w:val="001C58A3"/>
    <w:rsid w:val="001C5F7D"/>
    <w:rsid w:val="001C6005"/>
    <w:rsid w:val="001C782E"/>
    <w:rsid w:val="001D1F87"/>
    <w:rsid w:val="001D3496"/>
    <w:rsid w:val="001D3B9A"/>
    <w:rsid w:val="001D3E91"/>
    <w:rsid w:val="001D5D89"/>
    <w:rsid w:val="001D5E79"/>
    <w:rsid w:val="001D71DE"/>
    <w:rsid w:val="001E1055"/>
    <w:rsid w:val="001E1E67"/>
    <w:rsid w:val="001E2FED"/>
    <w:rsid w:val="001E31EB"/>
    <w:rsid w:val="001E3CD8"/>
    <w:rsid w:val="001E3D7B"/>
    <w:rsid w:val="001E4351"/>
    <w:rsid w:val="001E43F1"/>
    <w:rsid w:val="001E457F"/>
    <w:rsid w:val="001E53BC"/>
    <w:rsid w:val="001E594B"/>
    <w:rsid w:val="001E59A8"/>
    <w:rsid w:val="001E5C68"/>
    <w:rsid w:val="001E66E4"/>
    <w:rsid w:val="001F06CE"/>
    <w:rsid w:val="001F0734"/>
    <w:rsid w:val="001F39F6"/>
    <w:rsid w:val="001F406D"/>
    <w:rsid w:val="001F6487"/>
    <w:rsid w:val="001F6AA3"/>
    <w:rsid w:val="001F6D41"/>
    <w:rsid w:val="001F6F8A"/>
    <w:rsid w:val="00202CC2"/>
    <w:rsid w:val="00203436"/>
    <w:rsid w:val="0020378F"/>
    <w:rsid w:val="002048E6"/>
    <w:rsid w:val="0020582F"/>
    <w:rsid w:val="00207D6A"/>
    <w:rsid w:val="00210402"/>
    <w:rsid w:val="00212AAB"/>
    <w:rsid w:val="00212E74"/>
    <w:rsid w:val="002137C3"/>
    <w:rsid w:val="002155A7"/>
    <w:rsid w:val="002159D2"/>
    <w:rsid w:val="00217368"/>
    <w:rsid w:val="00217682"/>
    <w:rsid w:val="00221EA9"/>
    <w:rsid w:val="00222869"/>
    <w:rsid w:val="00223A32"/>
    <w:rsid w:val="002249CB"/>
    <w:rsid w:val="00226818"/>
    <w:rsid w:val="00227527"/>
    <w:rsid w:val="00230C03"/>
    <w:rsid w:val="00230FAF"/>
    <w:rsid w:val="00231557"/>
    <w:rsid w:val="0023215B"/>
    <w:rsid w:val="00232887"/>
    <w:rsid w:val="00232C0F"/>
    <w:rsid w:val="00233790"/>
    <w:rsid w:val="002347A0"/>
    <w:rsid w:val="00235E3E"/>
    <w:rsid w:val="002417A5"/>
    <w:rsid w:val="00241A5E"/>
    <w:rsid w:val="00243532"/>
    <w:rsid w:val="00243584"/>
    <w:rsid w:val="0024373E"/>
    <w:rsid w:val="0024483E"/>
    <w:rsid w:val="00245849"/>
    <w:rsid w:val="00246EAC"/>
    <w:rsid w:val="00247008"/>
    <w:rsid w:val="00250ED4"/>
    <w:rsid w:val="00251B48"/>
    <w:rsid w:val="0025560F"/>
    <w:rsid w:val="00256DCC"/>
    <w:rsid w:val="002571A5"/>
    <w:rsid w:val="00260E8E"/>
    <w:rsid w:val="00261C20"/>
    <w:rsid w:val="002620DF"/>
    <w:rsid w:val="002627A1"/>
    <w:rsid w:val="00262990"/>
    <w:rsid w:val="00262B99"/>
    <w:rsid w:val="00263678"/>
    <w:rsid w:val="00263BF5"/>
    <w:rsid w:val="0026438A"/>
    <w:rsid w:val="00264987"/>
    <w:rsid w:val="00264AC2"/>
    <w:rsid w:val="002650BA"/>
    <w:rsid w:val="0026558D"/>
    <w:rsid w:val="0026652C"/>
    <w:rsid w:val="0027000D"/>
    <w:rsid w:val="00271029"/>
    <w:rsid w:val="00272396"/>
    <w:rsid w:val="002725F3"/>
    <w:rsid w:val="002729A7"/>
    <w:rsid w:val="00272A4E"/>
    <w:rsid w:val="0027351D"/>
    <w:rsid w:val="0027370D"/>
    <w:rsid w:val="00275698"/>
    <w:rsid w:val="00275C80"/>
    <w:rsid w:val="00276F6D"/>
    <w:rsid w:val="00277A4C"/>
    <w:rsid w:val="00277BFF"/>
    <w:rsid w:val="002808D5"/>
    <w:rsid w:val="0028162E"/>
    <w:rsid w:val="002855A3"/>
    <w:rsid w:val="00285D73"/>
    <w:rsid w:val="00286EEF"/>
    <w:rsid w:val="00287700"/>
    <w:rsid w:val="0029066C"/>
    <w:rsid w:val="00291793"/>
    <w:rsid w:val="00292A68"/>
    <w:rsid w:val="00294D53"/>
    <w:rsid w:val="00295CA3"/>
    <w:rsid w:val="00295EA0"/>
    <w:rsid w:val="00296F8E"/>
    <w:rsid w:val="00296F90"/>
    <w:rsid w:val="00297FBD"/>
    <w:rsid w:val="002A0310"/>
    <w:rsid w:val="002A0BDB"/>
    <w:rsid w:val="002A0E7E"/>
    <w:rsid w:val="002A1F00"/>
    <w:rsid w:val="002A27D2"/>
    <w:rsid w:val="002A30B1"/>
    <w:rsid w:val="002A3180"/>
    <w:rsid w:val="002A413D"/>
    <w:rsid w:val="002A5198"/>
    <w:rsid w:val="002A5346"/>
    <w:rsid w:val="002A5599"/>
    <w:rsid w:val="002A721A"/>
    <w:rsid w:val="002A73DD"/>
    <w:rsid w:val="002B2439"/>
    <w:rsid w:val="002B3CE2"/>
    <w:rsid w:val="002B67E1"/>
    <w:rsid w:val="002B6D57"/>
    <w:rsid w:val="002C01B2"/>
    <w:rsid w:val="002C04DD"/>
    <w:rsid w:val="002C0E96"/>
    <w:rsid w:val="002C2F14"/>
    <w:rsid w:val="002C3C34"/>
    <w:rsid w:val="002C5F58"/>
    <w:rsid w:val="002C63A7"/>
    <w:rsid w:val="002C6482"/>
    <w:rsid w:val="002C689A"/>
    <w:rsid w:val="002C6C76"/>
    <w:rsid w:val="002C6F8D"/>
    <w:rsid w:val="002D21BC"/>
    <w:rsid w:val="002D303B"/>
    <w:rsid w:val="002D3A15"/>
    <w:rsid w:val="002D3E7A"/>
    <w:rsid w:val="002D3EE6"/>
    <w:rsid w:val="002D4B23"/>
    <w:rsid w:val="002D4BC9"/>
    <w:rsid w:val="002E06B2"/>
    <w:rsid w:val="002E0F62"/>
    <w:rsid w:val="002E1960"/>
    <w:rsid w:val="002E2388"/>
    <w:rsid w:val="002E3BDD"/>
    <w:rsid w:val="002E45E8"/>
    <w:rsid w:val="002E56C8"/>
    <w:rsid w:val="002F0CC8"/>
    <w:rsid w:val="002F0F00"/>
    <w:rsid w:val="002F1254"/>
    <w:rsid w:val="002F1992"/>
    <w:rsid w:val="002F1E93"/>
    <w:rsid w:val="002F1E9D"/>
    <w:rsid w:val="002F25AC"/>
    <w:rsid w:val="002F65C9"/>
    <w:rsid w:val="002F68A7"/>
    <w:rsid w:val="00300524"/>
    <w:rsid w:val="00301C5D"/>
    <w:rsid w:val="00301E90"/>
    <w:rsid w:val="00303F88"/>
    <w:rsid w:val="0030402C"/>
    <w:rsid w:val="00304037"/>
    <w:rsid w:val="00304E28"/>
    <w:rsid w:val="0030516A"/>
    <w:rsid w:val="00305747"/>
    <w:rsid w:val="00306351"/>
    <w:rsid w:val="00307A58"/>
    <w:rsid w:val="003100ED"/>
    <w:rsid w:val="003111D8"/>
    <w:rsid w:val="003111E8"/>
    <w:rsid w:val="00311BDA"/>
    <w:rsid w:val="003121AB"/>
    <w:rsid w:val="003145FC"/>
    <w:rsid w:val="003157DC"/>
    <w:rsid w:val="00315E3D"/>
    <w:rsid w:val="00315E51"/>
    <w:rsid w:val="003160F8"/>
    <w:rsid w:val="00317322"/>
    <w:rsid w:val="00317D88"/>
    <w:rsid w:val="00324F70"/>
    <w:rsid w:val="003253E0"/>
    <w:rsid w:val="003301B5"/>
    <w:rsid w:val="00331362"/>
    <w:rsid w:val="0033142C"/>
    <w:rsid w:val="00332FE2"/>
    <w:rsid w:val="003346CA"/>
    <w:rsid w:val="003346D6"/>
    <w:rsid w:val="00336429"/>
    <w:rsid w:val="003409FC"/>
    <w:rsid w:val="0034121E"/>
    <w:rsid w:val="003413F2"/>
    <w:rsid w:val="00342CA3"/>
    <w:rsid w:val="0034522B"/>
    <w:rsid w:val="00345E72"/>
    <w:rsid w:val="00347E7A"/>
    <w:rsid w:val="00350AFB"/>
    <w:rsid w:val="00350FD7"/>
    <w:rsid w:val="003511D5"/>
    <w:rsid w:val="00351673"/>
    <w:rsid w:val="00352FFB"/>
    <w:rsid w:val="0035307D"/>
    <w:rsid w:val="00354999"/>
    <w:rsid w:val="00355222"/>
    <w:rsid w:val="003559CE"/>
    <w:rsid w:val="00356197"/>
    <w:rsid w:val="0035718E"/>
    <w:rsid w:val="00357F5E"/>
    <w:rsid w:val="00360C1F"/>
    <w:rsid w:val="0036224F"/>
    <w:rsid w:val="003637DC"/>
    <w:rsid w:val="00363801"/>
    <w:rsid w:val="003647EB"/>
    <w:rsid w:val="00365A22"/>
    <w:rsid w:val="0036662C"/>
    <w:rsid w:val="00366997"/>
    <w:rsid w:val="0036752B"/>
    <w:rsid w:val="0037090D"/>
    <w:rsid w:val="00370CD4"/>
    <w:rsid w:val="00370D27"/>
    <w:rsid w:val="003711F5"/>
    <w:rsid w:val="00371967"/>
    <w:rsid w:val="00371AD8"/>
    <w:rsid w:val="00371DFD"/>
    <w:rsid w:val="00372851"/>
    <w:rsid w:val="0037449E"/>
    <w:rsid w:val="003768DD"/>
    <w:rsid w:val="00376992"/>
    <w:rsid w:val="00377A90"/>
    <w:rsid w:val="00380A72"/>
    <w:rsid w:val="003820F6"/>
    <w:rsid w:val="003822BE"/>
    <w:rsid w:val="0038275D"/>
    <w:rsid w:val="00382FF6"/>
    <w:rsid w:val="00383043"/>
    <w:rsid w:val="00383706"/>
    <w:rsid w:val="003839DB"/>
    <w:rsid w:val="00383D74"/>
    <w:rsid w:val="00384645"/>
    <w:rsid w:val="00386CA9"/>
    <w:rsid w:val="003902E8"/>
    <w:rsid w:val="003905F3"/>
    <w:rsid w:val="00391F66"/>
    <w:rsid w:val="003927A0"/>
    <w:rsid w:val="00392EC8"/>
    <w:rsid w:val="00393908"/>
    <w:rsid w:val="00393D1A"/>
    <w:rsid w:val="003940FC"/>
    <w:rsid w:val="003941CF"/>
    <w:rsid w:val="0039516D"/>
    <w:rsid w:val="003953A8"/>
    <w:rsid w:val="003955DA"/>
    <w:rsid w:val="003975D4"/>
    <w:rsid w:val="003A02D3"/>
    <w:rsid w:val="003A050D"/>
    <w:rsid w:val="003A13C4"/>
    <w:rsid w:val="003A5D25"/>
    <w:rsid w:val="003A7191"/>
    <w:rsid w:val="003A77F3"/>
    <w:rsid w:val="003A7D8F"/>
    <w:rsid w:val="003B0109"/>
    <w:rsid w:val="003B0AE2"/>
    <w:rsid w:val="003B1430"/>
    <w:rsid w:val="003B18ED"/>
    <w:rsid w:val="003B221D"/>
    <w:rsid w:val="003B2723"/>
    <w:rsid w:val="003B4DA5"/>
    <w:rsid w:val="003B5C81"/>
    <w:rsid w:val="003B6C93"/>
    <w:rsid w:val="003B7B92"/>
    <w:rsid w:val="003C0565"/>
    <w:rsid w:val="003C1DF5"/>
    <w:rsid w:val="003C2E60"/>
    <w:rsid w:val="003C3235"/>
    <w:rsid w:val="003C49EF"/>
    <w:rsid w:val="003C624A"/>
    <w:rsid w:val="003C6A32"/>
    <w:rsid w:val="003C6FD0"/>
    <w:rsid w:val="003C750B"/>
    <w:rsid w:val="003D0369"/>
    <w:rsid w:val="003D0567"/>
    <w:rsid w:val="003D2600"/>
    <w:rsid w:val="003D3089"/>
    <w:rsid w:val="003D3535"/>
    <w:rsid w:val="003D4A83"/>
    <w:rsid w:val="003D5196"/>
    <w:rsid w:val="003D63F5"/>
    <w:rsid w:val="003D673B"/>
    <w:rsid w:val="003D77B5"/>
    <w:rsid w:val="003E0318"/>
    <w:rsid w:val="003E0481"/>
    <w:rsid w:val="003E0A99"/>
    <w:rsid w:val="003E2CF3"/>
    <w:rsid w:val="003E2E81"/>
    <w:rsid w:val="003E570B"/>
    <w:rsid w:val="003E63DD"/>
    <w:rsid w:val="003F096A"/>
    <w:rsid w:val="003F0990"/>
    <w:rsid w:val="003F1E4E"/>
    <w:rsid w:val="003F50FA"/>
    <w:rsid w:val="003F5397"/>
    <w:rsid w:val="003F575C"/>
    <w:rsid w:val="00400019"/>
    <w:rsid w:val="0040068B"/>
    <w:rsid w:val="0040152F"/>
    <w:rsid w:val="004023B9"/>
    <w:rsid w:val="00402542"/>
    <w:rsid w:val="00403A88"/>
    <w:rsid w:val="00404C40"/>
    <w:rsid w:val="00404F35"/>
    <w:rsid w:val="00404F36"/>
    <w:rsid w:val="00405149"/>
    <w:rsid w:val="00405756"/>
    <w:rsid w:val="00410070"/>
    <w:rsid w:val="00410C15"/>
    <w:rsid w:val="0041108C"/>
    <w:rsid w:val="0041156B"/>
    <w:rsid w:val="004144BE"/>
    <w:rsid w:val="00414A49"/>
    <w:rsid w:val="0042035D"/>
    <w:rsid w:val="00420E6E"/>
    <w:rsid w:val="00420EC6"/>
    <w:rsid w:val="00422FA4"/>
    <w:rsid w:val="00423E5E"/>
    <w:rsid w:val="00424C85"/>
    <w:rsid w:val="00425D30"/>
    <w:rsid w:val="00425F88"/>
    <w:rsid w:val="004261E1"/>
    <w:rsid w:val="004264BB"/>
    <w:rsid w:val="0042725B"/>
    <w:rsid w:val="00427DDE"/>
    <w:rsid w:val="00430EDA"/>
    <w:rsid w:val="00430F8F"/>
    <w:rsid w:val="00431C64"/>
    <w:rsid w:val="00434516"/>
    <w:rsid w:val="00436D4C"/>
    <w:rsid w:val="00440609"/>
    <w:rsid w:val="004421F6"/>
    <w:rsid w:val="004431F4"/>
    <w:rsid w:val="0044356C"/>
    <w:rsid w:val="00443E94"/>
    <w:rsid w:val="004440C4"/>
    <w:rsid w:val="00446742"/>
    <w:rsid w:val="00446C56"/>
    <w:rsid w:val="00446C85"/>
    <w:rsid w:val="00446CF6"/>
    <w:rsid w:val="00447398"/>
    <w:rsid w:val="00452130"/>
    <w:rsid w:val="00452245"/>
    <w:rsid w:val="004535D8"/>
    <w:rsid w:val="00453B93"/>
    <w:rsid w:val="00453B9F"/>
    <w:rsid w:val="00455E35"/>
    <w:rsid w:val="004570D3"/>
    <w:rsid w:val="00457D81"/>
    <w:rsid w:val="004624C6"/>
    <w:rsid w:val="00463BB2"/>
    <w:rsid w:val="004661CB"/>
    <w:rsid w:val="00466497"/>
    <w:rsid w:val="00466B31"/>
    <w:rsid w:val="004703FF"/>
    <w:rsid w:val="00470898"/>
    <w:rsid w:val="004712DF"/>
    <w:rsid w:val="00472841"/>
    <w:rsid w:val="004728E5"/>
    <w:rsid w:val="0047302D"/>
    <w:rsid w:val="00473F17"/>
    <w:rsid w:val="0047584C"/>
    <w:rsid w:val="00481CDF"/>
    <w:rsid w:val="00482720"/>
    <w:rsid w:val="00483041"/>
    <w:rsid w:val="00483C06"/>
    <w:rsid w:val="00485FBC"/>
    <w:rsid w:val="00486EE1"/>
    <w:rsid w:val="00487577"/>
    <w:rsid w:val="0049099A"/>
    <w:rsid w:val="00491796"/>
    <w:rsid w:val="00491D49"/>
    <w:rsid w:val="00492412"/>
    <w:rsid w:val="00492C27"/>
    <w:rsid w:val="004935AD"/>
    <w:rsid w:val="00493635"/>
    <w:rsid w:val="0049437D"/>
    <w:rsid w:val="004950ED"/>
    <w:rsid w:val="004975E4"/>
    <w:rsid w:val="00497877"/>
    <w:rsid w:val="004A00C2"/>
    <w:rsid w:val="004A0694"/>
    <w:rsid w:val="004A0A1B"/>
    <w:rsid w:val="004A1043"/>
    <w:rsid w:val="004A1BDD"/>
    <w:rsid w:val="004A338C"/>
    <w:rsid w:val="004A3C5D"/>
    <w:rsid w:val="004A4770"/>
    <w:rsid w:val="004A52C1"/>
    <w:rsid w:val="004A58DE"/>
    <w:rsid w:val="004A786C"/>
    <w:rsid w:val="004A7F66"/>
    <w:rsid w:val="004B00BD"/>
    <w:rsid w:val="004B02FE"/>
    <w:rsid w:val="004B052A"/>
    <w:rsid w:val="004B11F0"/>
    <w:rsid w:val="004B2FBE"/>
    <w:rsid w:val="004B3338"/>
    <w:rsid w:val="004B5264"/>
    <w:rsid w:val="004B56DC"/>
    <w:rsid w:val="004B5FBA"/>
    <w:rsid w:val="004B62FF"/>
    <w:rsid w:val="004B678E"/>
    <w:rsid w:val="004B6842"/>
    <w:rsid w:val="004C0819"/>
    <w:rsid w:val="004C094E"/>
    <w:rsid w:val="004C181C"/>
    <w:rsid w:val="004C2FB6"/>
    <w:rsid w:val="004C3550"/>
    <w:rsid w:val="004C4337"/>
    <w:rsid w:val="004C433B"/>
    <w:rsid w:val="004C5FBB"/>
    <w:rsid w:val="004C6E27"/>
    <w:rsid w:val="004C6F4C"/>
    <w:rsid w:val="004D046C"/>
    <w:rsid w:val="004D21C1"/>
    <w:rsid w:val="004D385D"/>
    <w:rsid w:val="004D4B7C"/>
    <w:rsid w:val="004D6B44"/>
    <w:rsid w:val="004D6D5B"/>
    <w:rsid w:val="004E10D8"/>
    <w:rsid w:val="004E158C"/>
    <w:rsid w:val="004E1B14"/>
    <w:rsid w:val="004E1CE1"/>
    <w:rsid w:val="004E2163"/>
    <w:rsid w:val="004E2505"/>
    <w:rsid w:val="004E2D68"/>
    <w:rsid w:val="004E2F6F"/>
    <w:rsid w:val="004E50CA"/>
    <w:rsid w:val="004E6760"/>
    <w:rsid w:val="004F0BA0"/>
    <w:rsid w:val="004F151F"/>
    <w:rsid w:val="004F1593"/>
    <w:rsid w:val="004F22DD"/>
    <w:rsid w:val="004F346E"/>
    <w:rsid w:val="004F34A2"/>
    <w:rsid w:val="004F4766"/>
    <w:rsid w:val="004F4970"/>
    <w:rsid w:val="004F6378"/>
    <w:rsid w:val="004F6D8C"/>
    <w:rsid w:val="004F702E"/>
    <w:rsid w:val="004F72F0"/>
    <w:rsid w:val="00500125"/>
    <w:rsid w:val="005007D8"/>
    <w:rsid w:val="0050102A"/>
    <w:rsid w:val="00502BED"/>
    <w:rsid w:val="0050574E"/>
    <w:rsid w:val="00510A86"/>
    <w:rsid w:val="005110D4"/>
    <w:rsid w:val="00512C94"/>
    <w:rsid w:val="005130D6"/>
    <w:rsid w:val="00514B53"/>
    <w:rsid w:val="005150F2"/>
    <w:rsid w:val="0051565B"/>
    <w:rsid w:val="00515CBE"/>
    <w:rsid w:val="00516F20"/>
    <w:rsid w:val="00522768"/>
    <w:rsid w:val="0052517C"/>
    <w:rsid w:val="00526503"/>
    <w:rsid w:val="005271AF"/>
    <w:rsid w:val="005311FE"/>
    <w:rsid w:val="00532916"/>
    <w:rsid w:val="005332F7"/>
    <w:rsid w:val="00534107"/>
    <w:rsid w:val="00535D17"/>
    <w:rsid w:val="00535E40"/>
    <w:rsid w:val="00536269"/>
    <w:rsid w:val="00536484"/>
    <w:rsid w:val="00536646"/>
    <w:rsid w:val="0053671C"/>
    <w:rsid w:val="00536E57"/>
    <w:rsid w:val="00537B57"/>
    <w:rsid w:val="00537B72"/>
    <w:rsid w:val="00540ED3"/>
    <w:rsid w:val="00541376"/>
    <w:rsid w:val="0054137C"/>
    <w:rsid w:val="00541744"/>
    <w:rsid w:val="00542E13"/>
    <w:rsid w:val="00543DEC"/>
    <w:rsid w:val="00544583"/>
    <w:rsid w:val="005478C3"/>
    <w:rsid w:val="00550687"/>
    <w:rsid w:val="00551469"/>
    <w:rsid w:val="005518E2"/>
    <w:rsid w:val="00551A5E"/>
    <w:rsid w:val="0055288B"/>
    <w:rsid w:val="005529C5"/>
    <w:rsid w:val="00552B24"/>
    <w:rsid w:val="00553CA6"/>
    <w:rsid w:val="00553CDA"/>
    <w:rsid w:val="00554DC9"/>
    <w:rsid w:val="0055697B"/>
    <w:rsid w:val="005622BB"/>
    <w:rsid w:val="00562F73"/>
    <w:rsid w:val="00563039"/>
    <w:rsid w:val="00563CE5"/>
    <w:rsid w:val="00563FD3"/>
    <w:rsid w:val="00565C69"/>
    <w:rsid w:val="005669DC"/>
    <w:rsid w:val="005676D5"/>
    <w:rsid w:val="00567CB8"/>
    <w:rsid w:val="00567EE2"/>
    <w:rsid w:val="0057111F"/>
    <w:rsid w:val="005716C7"/>
    <w:rsid w:val="005717FA"/>
    <w:rsid w:val="00571C9D"/>
    <w:rsid w:val="005754BC"/>
    <w:rsid w:val="0057550A"/>
    <w:rsid w:val="00575639"/>
    <w:rsid w:val="00575791"/>
    <w:rsid w:val="00575B9C"/>
    <w:rsid w:val="005760C2"/>
    <w:rsid w:val="00576670"/>
    <w:rsid w:val="00576E2B"/>
    <w:rsid w:val="0057777A"/>
    <w:rsid w:val="0058056A"/>
    <w:rsid w:val="005810A9"/>
    <w:rsid w:val="00584129"/>
    <w:rsid w:val="005856AF"/>
    <w:rsid w:val="005873E6"/>
    <w:rsid w:val="005901A6"/>
    <w:rsid w:val="00591A51"/>
    <w:rsid w:val="00591FE1"/>
    <w:rsid w:val="005921F5"/>
    <w:rsid w:val="00593079"/>
    <w:rsid w:val="0059377D"/>
    <w:rsid w:val="00594650"/>
    <w:rsid w:val="00594B70"/>
    <w:rsid w:val="0059505B"/>
    <w:rsid w:val="00595AF7"/>
    <w:rsid w:val="00597A41"/>
    <w:rsid w:val="00597B30"/>
    <w:rsid w:val="005A00E4"/>
    <w:rsid w:val="005A0C26"/>
    <w:rsid w:val="005A39B9"/>
    <w:rsid w:val="005A55FE"/>
    <w:rsid w:val="005A7BA6"/>
    <w:rsid w:val="005B2E30"/>
    <w:rsid w:val="005B35F3"/>
    <w:rsid w:val="005B4886"/>
    <w:rsid w:val="005B4E59"/>
    <w:rsid w:val="005B506D"/>
    <w:rsid w:val="005B566D"/>
    <w:rsid w:val="005C0105"/>
    <w:rsid w:val="005C0BF5"/>
    <w:rsid w:val="005C158C"/>
    <w:rsid w:val="005C1A68"/>
    <w:rsid w:val="005C2250"/>
    <w:rsid w:val="005C259F"/>
    <w:rsid w:val="005C39B4"/>
    <w:rsid w:val="005C46F4"/>
    <w:rsid w:val="005C5829"/>
    <w:rsid w:val="005C63C1"/>
    <w:rsid w:val="005C6A98"/>
    <w:rsid w:val="005C6D20"/>
    <w:rsid w:val="005C7088"/>
    <w:rsid w:val="005C75F9"/>
    <w:rsid w:val="005D08DA"/>
    <w:rsid w:val="005D08F9"/>
    <w:rsid w:val="005D153C"/>
    <w:rsid w:val="005D1766"/>
    <w:rsid w:val="005D1E8C"/>
    <w:rsid w:val="005D1FC2"/>
    <w:rsid w:val="005D1FE4"/>
    <w:rsid w:val="005D229E"/>
    <w:rsid w:val="005D25BE"/>
    <w:rsid w:val="005E1061"/>
    <w:rsid w:val="005E1D7D"/>
    <w:rsid w:val="005E335C"/>
    <w:rsid w:val="005E36DE"/>
    <w:rsid w:val="005E36F3"/>
    <w:rsid w:val="005E3C85"/>
    <w:rsid w:val="005E5449"/>
    <w:rsid w:val="005E55E9"/>
    <w:rsid w:val="005E6509"/>
    <w:rsid w:val="005F0AF9"/>
    <w:rsid w:val="005F13EB"/>
    <w:rsid w:val="005F1A86"/>
    <w:rsid w:val="005F1F56"/>
    <w:rsid w:val="005F201C"/>
    <w:rsid w:val="005F282E"/>
    <w:rsid w:val="005F3739"/>
    <w:rsid w:val="005F4120"/>
    <w:rsid w:val="005F49E0"/>
    <w:rsid w:val="005F5B19"/>
    <w:rsid w:val="005F6A71"/>
    <w:rsid w:val="005F6B21"/>
    <w:rsid w:val="005F7155"/>
    <w:rsid w:val="005F79D6"/>
    <w:rsid w:val="005F7C50"/>
    <w:rsid w:val="00600DCE"/>
    <w:rsid w:val="00601657"/>
    <w:rsid w:val="0060215B"/>
    <w:rsid w:val="00602F23"/>
    <w:rsid w:val="00603B8E"/>
    <w:rsid w:val="006041C2"/>
    <w:rsid w:val="00604500"/>
    <w:rsid w:val="00604AD4"/>
    <w:rsid w:val="00605051"/>
    <w:rsid w:val="0060550C"/>
    <w:rsid w:val="006057F1"/>
    <w:rsid w:val="00606579"/>
    <w:rsid w:val="00606C77"/>
    <w:rsid w:val="00606EB0"/>
    <w:rsid w:val="0060721C"/>
    <w:rsid w:val="006076C5"/>
    <w:rsid w:val="00607762"/>
    <w:rsid w:val="00610FE2"/>
    <w:rsid w:val="00611A22"/>
    <w:rsid w:val="00612C36"/>
    <w:rsid w:val="00612E23"/>
    <w:rsid w:val="00612E5C"/>
    <w:rsid w:val="006138EF"/>
    <w:rsid w:val="006161CC"/>
    <w:rsid w:val="00616292"/>
    <w:rsid w:val="0061666E"/>
    <w:rsid w:val="00616B76"/>
    <w:rsid w:val="0061760A"/>
    <w:rsid w:val="0062058D"/>
    <w:rsid w:val="00620E59"/>
    <w:rsid w:val="006214EB"/>
    <w:rsid w:val="00622397"/>
    <w:rsid w:val="006236FF"/>
    <w:rsid w:val="00623AC1"/>
    <w:rsid w:val="00626490"/>
    <w:rsid w:val="00626599"/>
    <w:rsid w:val="006268C8"/>
    <w:rsid w:val="006279AE"/>
    <w:rsid w:val="00627E0A"/>
    <w:rsid w:val="0063014A"/>
    <w:rsid w:val="00630C43"/>
    <w:rsid w:val="006325C0"/>
    <w:rsid w:val="0063592E"/>
    <w:rsid w:val="00635E3A"/>
    <w:rsid w:val="006366FC"/>
    <w:rsid w:val="00636BAE"/>
    <w:rsid w:val="00637305"/>
    <w:rsid w:val="00637D5C"/>
    <w:rsid w:val="00640CD8"/>
    <w:rsid w:val="00640D07"/>
    <w:rsid w:val="00640E03"/>
    <w:rsid w:val="006414EB"/>
    <w:rsid w:val="006421B5"/>
    <w:rsid w:val="006426C7"/>
    <w:rsid w:val="00642A8D"/>
    <w:rsid w:val="00645422"/>
    <w:rsid w:val="00646461"/>
    <w:rsid w:val="00647D8D"/>
    <w:rsid w:val="00651796"/>
    <w:rsid w:val="006522A3"/>
    <w:rsid w:val="00652603"/>
    <w:rsid w:val="00652F6F"/>
    <w:rsid w:val="00653F90"/>
    <w:rsid w:val="00654141"/>
    <w:rsid w:val="0065473F"/>
    <w:rsid w:val="00657130"/>
    <w:rsid w:val="00657172"/>
    <w:rsid w:val="00657802"/>
    <w:rsid w:val="00660432"/>
    <w:rsid w:val="006605B5"/>
    <w:rsid w:val="0066091F"/>
    <w:rsid w:val="00661D65"/>
    <w:rsid w:val="006638C5"/>
    <w:rsid w:val="00663E86"/>
    <w:rsid w:val="00664CBD"/>
    <w:rsid w:val="006658CB"/>
    <w:rsid w:val="00666156"/>
    <w:rsid w:val="006661EE"/>
    <w:rsid w:val="00666880"/>
    <w:rsid w:val="00666924"/>
    <w:rsid w:val="00671D66"/>
    <w:rsid w:val="00674272"/>
    <w:rsid w:val="006742B6"/>
    <w:rsid w:val="00675050"/>
    <w:rsid w:val="006768FA"/>
    <w:rsid w:val="00677E83"/>
    <w:rsid w:val="006815F7"/>
    <w:rsid w:val="00681A98"/>
    <w:rsid w:val="00681D90"/>
    <w:rsid w:val="006820CA"/>
    <w:rsid w:val="006851D3"/>
    <w:rsid w:val="0068624A"/>
    <w:rsid w:val="00686E30"/>
    <w:rsid w:val="006871A1"/>
    <w:rsid w:val="00687AE1"/>
    <w:rsid w:val="00690138"/>
    <w:rsid w:val="006909AE"/>
    <w:rsid w:val="00691431"/>
    <w:rsid w:val="00691F64"/>
    <w:rsid w:val="006926D2"/>
    <w:rsid w:val="00697712"/>
    <w:rsid w:val="006A0C1A"/>
    <w:rsid w:val="006A135C"/>
    <w:rsid w:val="006A15E9"/>
    <w:rsid w:val="006A2260"/>
    <w:rsid w:val="006A239F"/>
    <w:rsid w:val="006A31BC"/>
    <w:rsid w:val="006A3641"/>
    <w:rsid w:val="006A3BD5"/>
    <w:rsid w:val="006A65AC"/>
    <w:rsid w:val="006A689B"/>
    <w:rsid w:val="006A69A7"/>
    <w:rsid w:val="006A6A61"/>
    <w:rsid w:val="006B117C"/>
    <w:rsid w:val="006B1AFB"/>
    <w:rsid w:val="006B1C55"/>
    <w:rsid w:val="006B4872"/>
    <w:rsid w:val="006B4DC8"/>
    <w:rsid w:val="006B58FB"/>
    <w:rsid w:val="006B786A"/>
    <w:rsid w:val="006C1E50"/>
    <w:rsid w:val="006C33BD"/>
    <w:rsid w:val="006C4AB5"/>
    <w:rsid w:val="006C5104"/>
    <w:rsid w:val="006C5782"/>
    <w:rsid w:val="006C65D0"/>
    <w:rsid w:val="006C66CE"/>
    <w:rsid w:val="006C71E4"/>
    <w:rsid w:val="006D1088"/>
    <w:rsid w:val="006D1A0D"/>
    <w:rsid w:val="006D24B5"/>
    <w:rsid w:val="006D3A3C"/>
    <w:rsid w:val="006D3CA8"/>
    <w:rsid w:val="006D443E"/>
    <w:rsid w:val="006E088C"/>
    <w:rsid w:val="006E23B2"/>
    <w:rsid w:val="006E2684"/>
    <w:rsid w:val="006E31C4"/>
    <w:rsid w:val="006E421F"/>
    <w:rsid w:val="006E4FDF"/>
    <w:rsid w:val="006E5BEE"/>
    <w:rsid w:val="006E672E"/>
    <w:rsid w:val="006F1414"/>
    <w:rsid w:val="006F1666"/>
    <w:rsid w:val="006F2630"/>
    <w:rsid w:val="006F4875"/>
    <w:rsid w:val="006F5622"/>
    <w:rsid w:val="006F57B3"/>
    <w:rsid w:val="006F5F3A"/>
    <w:rsid w:val="006F659D"/>
    <w:rsid w:val="006F7F6E"/>
    <w:rsid w:val="006F7FD8"/>
    <w:rsid w:val="0070147E"/>
    <w:rsid w:val="00701539"/>
    <w:rsid w:val="007024FA"/>
    <w:rsid w:val="00702540"/>
    <w:rsid w:val="00703052"/>
    <w:rsid w:val="00705F2A"/>
    <w:rsid w:val="00706118"/>
    <w:rsid w:val="00706CB1"/>
    <w:rsid w:val="007076FA"/>
    <w:rsid w:val="00710733"/>
    <w:rsid w:val="00711CC9"/>
    <w:rsid w:val="00712248"/>
    <w:rsid w:val="0071296D"/>
    <w:rsid w:val="0071353C"/>
    <w:rsid w:val="007144EC"/>
    <w:rsid w:val="007148DE"/>
    <w:rsid w:val="00714F9F"/>
    <w:rsid w:val="00715FEC"/>
    <w:rsid w:val="00716A48"/>
    <w:rsid w:val="00717FE3"/>
    <w:rsid w:val="0072084B"/>
    <w:rsid w:val="00722DDD"/>
    <w:rsid w:val="0072339B"/>
    <w:rsid w:val="00724502"/>
    <w:rsid w:val="0072459C"/>
    <w:rsid w:val="00724D9E"/>
    <w:rsid w:val="00725C35"/>
    <w:rsid w:val="00727612"/>
    <w:rsid w:val="007309E4"/>
    <w:rsid w:val="00730BBE"/>
    <w:rsid w:val="00730D56"/>
    <w:rsid w:val="007320C8"/>
    <w:rsid w:val="0073225B"/>
    <w:rsid w:val="00734566"/>
    <w:rsid w:val="007348F9"/>
    <w:rsid w:val="00735BFC"/>
    <w:rsid w:val="007360B0"/>
    <w:rsid w:val="0074097D"/>
    <w:rsid w:val="00740CFA"/>
    <w:rsid w:val="00740F75"/>
    <w:rsid w:val="007412C6"/>
    <w:rsid w:val="00741BFC"/>
    <w:rsid w:val="007440F7"/>
    <w:rsid w:val="00744630"/>
    <w:rsid w:val="00744F78"/>
    <w:rsid w:val="007452D0"/>
    <w:rsid w:val="00746ACB"/>
    <w:rsid w:val="00750C7F"/>
    <w:rsid w:val="0075246F"/>
    <w:rsid w:val="00752625"/>
    <w:rsid w:val="00752E76"/>
    <w:rsid w:val="0075439B"/>
    <w:rsid w:val="00755809"/>
    <w:rsid w:val="0075791B"/>
    <w:rsid w:val="007601BB"/>
    <w:rsid w:val="00760C2F"/>
    <w:rsid w:val="00760C80"/>
    <w:rsid w:val="007611EF"/>
    <w:rsid w:val="00763665"/>
    <w:rsid w:val="00763778"/>
    <w:rsid w:val="00763F1A"/>
    <w:rsid w:val="0076468A"/>
    <w:rsid w:val="0076500C"/>
    <w:rsid w:val="00765DF1"/>
    <w:rsid w:val="007669EF"/>
    <w:rsid w:val="00770F1B"/>
    <w:rsid w:val="007718A9"/>
    <w:rsid w:val="007719DF"/>
    <w:rsid w:val="00773DA7"/>
    <w:rsid w:val="007741F1"/>
    <w:rsid w:val="00774691"/>
    <w:rsid w:val="00776784"/>
    <w:rsid w:val="007809E0"/>
    <w:rsid w:val="00783B93"/>
    <w:rsid w:val="00785675"/>
    <w:rsid w:val="00786539"/>
    <w:rsid w:val="007867D0"/>
    <w:rsid w:val="00786B93"/>
    <w:rsid w:val="0078744B"/>
    <w:rsid w:val="00787D54"/>
    <w:rsid w:val="00787FE1"/>
    <w:rsid w:val="00791371"/>
    <w:rsid w:val="00792024"/>
    <w:rsid w:val="00792CD1"/>
    <w:rsid w:val="007939D0"/>
    <w:rsid w:val="00795B45"/>
    <w:rsid w:val="0079612E"/>
    <w:rsid w:val="00797B2C"/>
    <w:rsid w:val="007A2453"/>
    <w:rsid w:val="007A2488"/>
    <w:rsid w:val="007A3088"/>
    <w:rsid w:val="007A3BEC"/>
    <w:rsid w:val="007A7F0B"/>
    <w:rsid w:val="007B1AED"/>
    <w:rsid w:val="007B2D54"/>
    <w:rsid w:val="007B3B3B"/>
    <w:rsid w:val="007B602B"/>
    <w:rsid w:val="007B66C0"/>
    <w:rsid w:val="007B6EF6"/>
    <w:rsid w:val="007C1FB6"/>
    <w:rsid w:val="007C3E70"/>
    <w:rsid w:val="007C41B0"/>
    <w:rsid w:val="007C5BC0"/>
    <w:rsid w:val="007C5CDC"/>
    <w:rsid w:val="007C6280"/>
    <w:rsid w:val="007C6D2D"/>
    <w:rsid w:val="007C71C3"/>
    <w:rsid w:val="007D0C6F"/>
    <w:rsid w:val="007D1B26"/>
    <w:rsid w:val="007D3510"/>
    <w:rsid w:val="007D3D81"/>
    <w:rsid w:val="007D3D84"/>
    <w:rsid w:val="007D512A"/>
    <w:rsid w:val="007D5214"/>
    <w:rsid w:val="007D694A"/>
    <w:rsid w:val="007D6CF3"/>
    <w:rsid w:val="007D6CFE"/>
    <w:rsid w:val="007E0A55"/>
    <w:rsid w:val="007E10BE"/>
    <w:rsid w:val="007E175B"/>
    <w:rsid w:val="007E2DC3"/>
    <w:rsid w:val="007E48F3"/>
    <w:rsid w:val="007E55B4"/>
    <w:rsid w:val="007E571E"/>
    <w:rsid w:val="007E5E05"/>
    <w:rsid w:val="007E688B"/>
    <w:rsid w:val="007E690C"/>
    <w:rsid w:val="007F2B00"/>
    <w:rsid w:val="007F3471"/>
    <w:rsid w:val="007F39BE"/>
    <w:rsid w:val="007F404F"/>
    <w:rsid w:val="007F52CB"/>
    <w:rsid w:val="007F60C5"/>
    <w:rsid w:val="007F626C"/>
    <w:rsid w:val="007F6A52"/>
    <w:rsid w:val="007F7D78"/>
    <w:rsid w:val="00801389"/>
    <w:rsid w:val="0080232B"/>
    <w:rsid w:val="008062D0"/>
    <w:rsid w:val="00813EAC"/>
    <w:rsid w:val="00813FE5"/>
    <w:rsid w:val="008163B6"/>
    <w:rsid w:val="0082185F"/>
    <w:rsid w:val="0082291A"/>
    <w:rsid w:val="00822A1D"/>
    <w:rsid w:val="00823354"/>
    <w:rsid w:val="008255A0"/>
    <w:rsid w:val="00825734"/>
    <w:rsid w:val="00825981"/>
    <w:rsid w:val="00825FE3"/>
    <w:rsid w:val="008264D3"/>
    <w:rsid w:val="00826A50"/>
    <w:rsid w:val="008272C9"/>
    <w:rsid w:val="0082768F"/>
    <w:rsid w:val="00831081"/>
    <w:rsid w:val="008343A0"/>
    <w:rsid w:val="00836A6F"/>
    <w:rsid w:val="00836D9B"/>
    <w:rsid w:val="00836FD1"/>
    <w:rsid w:val="00840034"/>
    <w:rsid w:val="00840F94"/>
    <w:rsid w:val="008418D7"/>
    <w:rsid w:val="00841EE3"/>
    <w:rsid w:val="00842A16"/>
    <w:rsid w:val="00842A38"/>
    <w:rsid w:val="00842FCE"/>
    <w:rsid w:val="008435D0"/>
    <w:rsid w:val="0084463F"/>
    <w:rsid w:val="0084564B"/>
    <w:rsid w:val="00846D1A"/>
    <w:rsid w:val="008526C1"/>
    <w:rsid w:val="00852EEC"/>
    <w:rsid w:val="008533E9"/>
    <w:rsid w:val="00853CA7"/>
    <w:rsid w:val="00854813"/>
    <w:rsid w:val="00854834"/>
    <w:rsid w:val="00854AD0"/>
    <w:rsid w:val="00854DE8"/>
    <w:rsid w:val="00856238"/>
    <w:rsid w:val="00856610"/>
    <w:rsid w:val="0085684E"/>
    <w:rsid w:val="00860173"/>
    <w:rsid w:val="008608ED"/>
    <w:rsid w:val="00861416"/>
    <w:rsid w:val="008629CD"/>
    <w:rsid w:val="00862B37"/>
    <w:rsid w:val="00863779"/>
    <w:rsid w:val="008647B6"/>
    <w:rsid w:val="00864C14"/>
    <w:rsid w:val="00865EF1"/>
    <w:rsid w:val="00866650"/>
    <w:rsid w:val="00866D67"/>
    <w:rsid w:val="008676AC"/>
    <w:rsid w:val="00870A6D"/>
    <w:rsid w:val="008711C2"/>
    <w:rsid w:val="0087134E"/>
    <w:rsid w:val="00872E2D"/>
    <w:rsid w:val="008747DE"/>
    <w:rsid w:val="008758B7"/>
    <w:rsid w:val="008771DD"/>
    <w:rsid w:val="00877ABE"/>
    <w:rsid w:val="008831A8"/>
    <w:rsid w:val="00883823"/>
    <w:rsid w:val="00886357"/>
    <w:rsid w:val="0088662B"/>
    <w:rsid w:val="00886E9C"/>
    <w:rsid w:val="008872C2"/>
    <w:rsid w:val="00887FD6"/>
    <w:rsid w:val="00890C91"/>
    <w:rsid w:val="00890E9A"/>
    <w:rsid w:val="0089139B"/>
    <w:rsid w:val="00891D21"/>
    <w:rsid w:val="00892FD9"/>
    <w:rsid w:val="0089488A"/>
    <w:rsid w:val="00895256"/>
    <w:rsid w:val="00895A31"/>
    <w:rsid w:val="008965D7"/>
    <w:rsid w:val="008965E3"/>
    <w:rsid w:val="00896A01"/>
    <w:rsid w:val="008A0029"/>
    <w:rsid w:val="008A0D77"/>
    <w:rsid w:val="008A1754"/>
    <w:rsid w:val="008A1846"/>
    <w:rsid w:val="008A1D62"/>
    <w:rsid w:val="008A44E1"/>
    <w:rsid w:val="008A5027"/>
    <w:rsid w:val="008A5085"/>
    <w:rsid w:val="008A6CB4"/>
    <w:rsid w:val="008B04DE"/>
    <w:rsid w:val="008B1A6E"/>
    <w:rsid w:val="008B2C81"/>
    <w:rsid w:val="008B3A53"/>
    <w:rsid w:val="008B4C88"/>
    <w:rsid w:val="008B577B"/>
    <w:rsid w:val="008B7256"/>
    <w:rsid w:val="008B7ECD"/>
    <w:rsid w:val="008C0F21"/>
    <w:rsid w:val="008C2664"/>
    <w:rsid w:val="008C52B2"/>
    <w:rsid w:val="008C53EC"/>
    <w:rsid w:val="008C5437"/>
    <w:rsid w:val="008C72A2"/>
    <w:rsid w:val="008C772B"/>
    <w:rsid w:val="008C7D64"/>
    <w:rsid w:val="008D0196"/>
    <w:rsid w:val="008D0F32"/>
    <w:rsid w:val="008D2C0B"/>
    <w:rsid w:val="008D3AE5"/>
    <w:rsid w:val="008D3EF8"/>
    <w:rsid w:val="008D6CF5"/>
    <w:rsid w:val="008E181F"/>
    <w:rsid w:val="008E3E0B"/>
    <w:rsid w:val="008E6EC6"/>
    <w:rsid w:val="008E73A9"/>
    <w:rsid w:val="008E76B8"/>
    <w:rsid w:val="008E7A2D"/>
    <w:rsid w:val="008F2B8F"/>
    <w:rsid w:val="008F3968"/>
    <w:rsid w:val="008F3BE0"/>
    <w:rsid w:val="008F6F91"/>
    <w:rsid w:val="008F736E"/>
    <w:rsid w:val="008F7494"/>
    <w:rsid w:val="008F781A"/>
    <w:rsid w:val="008F7E39"/>
    <w:rsid w:val="009001A9"/>
    <w:rsid w:val="0090029C"/>
    <w:rsid w:val="0090052C"/>
    <w:rsid w:val="00901984"/>
    <w:rsid w:val="009025BA"/>
    <w:rsid w:val="00902619"/>
    <w:rsid w:val="009046B2"/>
    <w:rsid w:val="00904EA8"/>
    <w:rsid w:val="009059FA"/>
    <w:rsid w:val="00905CCB"/>
    <w:rsid w:val="00906126"/>
    <w:rsid w:val="009068CA"/>
    <w:rsid w:val="009079D9"/>
    <w:rsid w:val="00910AD1"/>
    <w:rsid w:val="00910B69"/>
    <w:rsid w:val="009126B3"/>
    <w:rsid w:val="00913159"/>
    <w:rsid w:val="00913D3A"/>
    <w:rsid w:val="009146DF"/>
    <w:rsid w:val="00914863"/>
    <w:rsid w:val="00916713"/>
    <w:rsid w:val="009206C2"/>
    <w:rsid w:val="00921844"/>
    <w:rsid w:val="00923C41"/>
    <w:rsid w:val="0092478D"/>
    <w:rsid w:val="00926415"/>
    <w:rsid w:val="009277C4"/>
    <w:rsid w:val="00927BE7"/>
    <w:rsid w:val="009303A3"/>
    <w:rsid w:val="0093146E"/>
    <w:rsid w:val="00931C9F"/>
    <w:rsid w:val="00932DAD"/>
    <w:rsid w:val="00933990"/>
    <w:rsid w:val="00933DE5"/>
    <w:rsid w:val="00934883"/>
    <w:rsid w:val="009359E8"/>
    <w:rsid w:val="00937BA9"/>
    <w:rsid w:val="0094002C"/>
    <w:rsid w:val="0094186E"/>
    <w:rsid w:val="00942008"/>
    <w:rsid w:val="009430AF"/>
    <w:rsid w:val="00944839"/>
    <w:rsid w:val="00945786"/>
    <w:rsid w:val="009461B6"/>
    <w:rsid w:val="00946665"/>
    <w:rsid w:val="00950D18"/>
    <w:rsid w:val="00951130"/>
    <w:rsid w:val="00951307"/>
    <w:rsid w:val="009533BC"/>
    <w:rsid w:val="0095356E"/>
    <w:rsid w:val="00954B68"/>
    <w:rsid w:val="009564D9"/>
    <w:rsid w:val="00956D91"/>
    <w:rsid w:val="00957E6A"/>
    <w:rsid w:val="0096016C"/>
    <w:rsid w:val="00962403"/>
    <w:rsid w:val="009628EB"/>
    <w:rsid w:val="009632FD"/>
    <w:rsid w:val="00964C3D"/>
    <w:rsid w:val="0096546E"/>
    <w:rsid w:val="0096555E"/>
    <w:rsid w:val="00965A3B"/>
    <w:rsid w:val="0096622B"/>
    <w:rsid w:val="00966362"/>
    <w:rsid w:val="00966639"/>
    <w:rsid w:val="00967CCC"/>
    <w:rsid w:val="009719A5"/>
    <w:rsid w:val="00971E3D"/>
    <w:rsid w:val="0097329F"/>
    <w:rsid w:val="00973DC3"/>
    <w:rsid w:val="00975E80"/>
    <w:rsid w:val="00976AF0"/>
    <w:rsid w:val="00980777"/>
    <w:rsid w:val="00981357"/>
    <w:rsid w:val="009822F4"/>
    <w:rsid w:val="00982536"/>
    <w:rsid w:val="0098383E"/>
    <w:rsid w:val="0098410C"/>
    <w:rsid w:val="009844DB"/>
    <w:rsid w:val="00986B5C"/>
    <w:rsid w:val="00992A16"/>
    <w:rsid w:val="00992CBF"/>
    <w:rsid w:val="00993786"/>
    <w:rsid w:val="00994556"/>
    <w:rsid w:val="00995C57"/>
    <w:rsid w:val="009961D0"/>
    <w:rsid w:val="00997CC9"/>
    <w:rsid w:val="009A00B6"/>
    <w:rsid w:val="009A1062"/>
    <w:rsid w:val="009A5841"/>
    <w:rsid w:val="009A7690"/>
    <w:rsid w:val="009B091E"/>
    <w:rsid w:val="009B1239"/>
    <w:rsid w:val="009B2519"/>
    <w:rsid w:val="009B41CD"/>
    <w:rsid w:val="009B6794"/>
    <w:rsid w:val="009C0306"/>
    <w:rsid w:val="009C1E2E"/>
    <w:rsid w:val="009C2148"/>
    <w:rsid w:val="009C307F"/>
    <w:rsid w:val="009C687A"/>
    <w:rsid w:val="009C7887"/>
    <w:rsid w:val="009C797A"/>
    <w:rsid w:val="009D012D"/>
    <w:rsid w:val="009D040F"/>
    <w:rsid w:val="009D08AA"/>
    <w:rsid w:val="009D1F1E"/>
    <w:rsid w:val="009D2422"/>
    <w:rsid w:val="009D34E6"/>
    <w:rsid w:val="009D5817"/>
    <w:rsid w:val="009D7A8B"/>
    <w:rsid w:val="009D7FB1"/>
    <w:rsid w:val="009E20A9"/>
    <w:rsid w:val="009E2225"/>
    <w:rsid w:val="009E26A1"/>
    <w:rsid w:val="009E291A"/>
    <w:rsid w:val="009E2D6F"/>
    <w:rsid w:val="009E36E4"/>
    <w:rsid w:val="009E3D3E"/>
    <w:rsid w:val="009E5552"/>
    <w:rsid w:val="009E5E1C"/>
    <w:rsid w:val="009E627C"/>
    <w:rsid w:val="009E6E1E"/>
    <w:rsid w:val="009E74DB"/>
    <w:rsid w:val="009F0858"/>
    <w:rsid w:val="009F0BA0"/>
    <w:rsid w:val="009F1706"/>
    <w:rsid w:val="009F1D08"/>
    <w:rsid w:val="009F2024"/>
    <w:rsid w:val="009F3227"/>
    <w:rsid w:val="00A007E9"/>
    <w:rsid w:val="00A00B44"/>
    <w:rsid w:val="00A01D74"/>
    <w:rsid w:val="00A02313"/>
    <w:rsid w:val="00A03042"/>
    <w:rsid w:val="00A035E0"/>
    <w:rsid w:val="00A03C24"/>
    <w:rsid w:val="00A05152"/>
    <w:rsid w:val="00A06B48"/>
    <w:rsid w:val="00A07E5D"/>
    <w:rsid w:val="00A106B2"/>
    <w:rsid w:val="00A11A34"/>
    <w:rsid w:val="00A13B70"/>
    <w:rsid w:val="00A1481C"/>
    <w:rsid w:val="00A149DC"/>
    <w:rsid w:val="00A14F57"/>
    <w:rsid w:val="00A15768"/>
    <w:rsid w:val="00A15A27"/>
    <w:rsid w:val="00A15E26"/>
    <w:rsid w:val="00A165A7"/>
    <w:rsid w:val="00A174DC"/>
    <w:rsid w:val="00A17720"/>
    <w:rsid w:val="00A20AA6"/>
    <w:rsid w:val="00A217F1"/>
    <w:rsid w:val="00A22284"/>
    <w:rsid w:val="00A244A7"/>
    <w:rsid w:val="00A25350"/>
    <w:rsid w:val="00A25D30"/>
    <w:rsid w:val="00A266BC"/>
    <w:rsid w:val="00A27DB5"/>
    <w:rsid w:val="00A30322"/>
    <w:rsid w:val="00A30C00"/>
    <w:rsid w:val="00A31F34"/>
    <w:rsid w:val="00A32AA6"/>
    <w:rsid w:val="00A3368F"/>
    <w:rsid w:val="00A339C2"/>
    <w:rsid w:val="00A34AFD"/>
    <w:rsid w:val="00A34D73"/>
    <w:rsid w:val="00A3664C"/>
    <w:rsid w:val="00A37EFD"/>
    <w:rsid w:val="00A40D13"/>
    <w:rsid w:val="00A44459"/>
    <w:rsid w:val="00A4626D"/>
    <w:rsid w:val="00A4663B"/>
    <w:rsid w:val="00A501FD"/>
    <w:rsid w:val="00A520D4"/>
    <w:rsid w:val="00A5244A"/>
    <w:rsid w:val="00A53C08"/>
    <w:rsid w:val="00A53F51"/>
    <w:rsid w:val="00A54AC3"/>
    <w:rsid w:val="00A5517D"/>
    <w:rsid w:val="00A565A3"/>
    <w:rsid w:val="00A578F3"/>
    <w:rsid w:val="00A57D51"/>
    <w:rsid w:val="00A61293"/>
    <w:rsid w:val="00A62CC6"/>
    <w:rsid w:val="00A630CA"/>
    <w:rsid w:val="00A6339F"/>
    <w:rsid w:val="00A6434F"/>
    <w:rsid w:val="00A65464"/>
    <w:rsid w:val="00A659E7"/>
    <w:rsid w:val="00A6620C"/>
    <w:rsid w:val="00A673E8"/>
    <w:rsid w:val="00A67606"/>
    <w:rsid w:val="00A67EF4"/>
    <w:rsid w:val="00A70D1B"/>
    <w:rsid w:val="00A712D8"/>
    <w:rsid w:val="00A71F8D"/>
    <w:rsid w:val="00A72562"/>
    <w:rsid w:val="00A72A1D"/>
    <w:rsid w:val="00A72A57"/>
    <w:rsid w:val="00A72CD5"/>
    <w:rsid w:val="00A72FBB"/>
    <w:rsid w:val="00A731D8"/>
    <w:rsid w:val="00A73510"/>
    <w:rsid w:val="00A7433A"/>
    <w:rsid w:val="00A75304"/>
    <w:rsid w:val="00A753ED"/>
    <w:rsid w:val="00A76406"/>
    <w:rsid w:val="00A82F9C"/>
    <w:rsid w:val="00A837DA"/>
    <w:rsid w:val="00A83E5E"/>
    <w:rsid w:val="00A846E9"/>
    <w:rsid w:val="00A84A86"/>
    <w:rsid w:val="00A84F07"/>
    <w:rsid w:val="00A8606F"/>
    <w:rsid w:val="00A90DED"/>
    <w:rsid w:val="00A90E58"/>
    <w:rsid w:val="00A91060"/>
    <w:rsid w:val="00A91537"/>
    <w:rsid w:val="00A9194A"/>
    <w:rsid w:val="00A919A5"/>
    <w:rsid w:val="00A92BB0"/>
    <w:rsid w:val="00A93422"/>
    <w:rsid w:val="00A94425"/>
    <w:rsid w:val="00A957A7"/>
    <w:rsid w:val="00A96FC7"/>
    <w:rsid w:val="00AA07B5"/>
    <w:rsid w:val="00AA0BBC"/>
    <w:rsid w:val="00AA132A"/>
    <w:rsid w:val="00AA1B22"/>
    <w:rsid w:val="00AA2429"/>
    <w:rsid w:val="00AA3404"/>
    <w:rsid w:val="00AA3ABE"/>
    <w:rsid w:val="00AA4168"/>
    <w:rsid w:val="00AA4568"/>
    <w:rsid w:val="00AA654A"/>
    <w:rsid w:val="00AA793C"/>
    <w:rsid w:val="00AA7985"/>
    <w:rsid w:val="00AB00EA"/>
    <w:rsid w:val="00AB0983"/>
    <w:rsid w:val="00AB0C83"/>
    <w:rsid w:val="00AB0D0B"/>
    <w:rsid w:val="00AB1291"/>
    <w:rsid w:val="00AB1564"/>
    <w:rsid w:val="00AB18F5"/>
    <w:rsid w:val="00AB3E3D"/>
    <w:rsid w:val="00AB4460"/>
    <w:rsid w:val="00AB650C"/>
    <w:rsid w:val="00AB6B48"/>
    <w:rsid w:val="00AC087E"/>
    <w:rsid w:val="00AC0D00"/>
    <w:rsid w:val="00AC120F"/>
    <w:rsid w:val="00AC2005"/>
    <w:rsid w:val="00AC207F"/>
    <w:rsid w:val="00AC3E99"/>
    <w:rsid w:val="00AC488A"/>
    <w:rsid w:val="00AC5733"/>
    <w:rsid w:val="00AC600A"/>
    <w:rsid w:val="00AC798C"/>
    <w:rsid w:val="00AD0BCB"/>
    <w:rsid w:val="00AD0E96"/>
    <w:rsid w:val="00AD11D9"/>
    <w:rsid w:val="00AD124B"/>
    <w:rsid w:val="00AD1A44"/>
    <w:rsid w:val="00AD2296"/>
    <w:rsid w:val="00AD2AB2"/>
    <w:rsid w:val="00AD2FA2"/>
    <w:rsid w:val="00AD5A9B"/>
    <w:rsid w:val="00AD7957"/>
    <w:rsid w:val="00AD7F47"/>
    <w:rsid w:val="00AE0AA1"/>
    <w:rsid w:val="00AE0E32"/>
    <w:rsid w:val="00AE0E65"/>
    <w:rsid w:val="00AE236D"/>
    <w:rsid w:val="00AE2687"/>
    <w:rsid w:val="00AE29AD"/>
    <w:rsid w:val="00AE4833"/>
    <w:rsid w:val="00AE5098"/>
    <w:rsid w:val="00AE5B6C"/>
    <w:rsid w:val="00AE6642"/>
    <w:rsid w:val="00AE6BE5"/>
    <w:rsid w:val="00AE787E"/>
    <w:rsid w:val="00AF17FE"/>
    <w:rsid w:val="00AF23B9"/>
    <w:rsid w:val="00AF316D"/>
    <w:rsid w:val="00AF34F0"/>
    <w:rsid w:val="00AF3FD2"/>
    <w:rsid w:val="00AF4208"/>
    <w:rsid w:val="00AF4910"/>
    <w:rsid w:val="00AF520F"/>
    <w:rsid w:val="00B00310"/>
    <w:rsid w:val="00B038F9"/>
    <w:rsid w:val="00B0550C"/>
    <w:rsid w:val="00B059AF"/>
    <w:rsid w:val="00B10AE2"/>
    <w:rsid w:val="00B10DEF"/>
    <w:rsid w:val="00B11DF0"/>
    <w:rsid w:val="00B11FCA"/>
    <w:rsid w:val="00B12470"/>
    <w:rsid w:val="00B12926"/>
    <w:rsid w:val="00B12B6A"/>
    <w:rsid w:val="00B130B2"/>
    <w:rsid w:val="00B146D7"/>
    <w:rsid w:val="00B14AAF"/>
    <w:rsid w:val="00B1554C"/>
    <w:rsid w:val="00B1724B"/>
    <w:rsid w:val="00B17F34"/>
    <w:rsid w:val="00B20448"/>
    <w:rsid w:val="00B20D45"/>
    <w:rsid w:val="00B221BB"/>
    <w:rsid w:val="00B24875"/>
    <w:rsid w:val="00B24CE6"/>
    <w:rsid w:val="00B250B8"/>
    <w:rsid w:val="00B25318"/>
    <w:rsid w:val="00B25CAA"/>
    <w:rsid w:val="00B261BB"/>
    <w:rsid w:val="00B2626D"/>
    <w:rsid w:val="00B2684D"/>
    <w:rsid w:val="00B27497"/>
    <w:rsid w:val="00B33127"/>
    <w:rsid w:val="00B336B5"/>
    <w:rsid w:val="00B33E4E"/>
    <w:rsid w:val="00B33FD8"/>
    <w:rsid w:val="00B34FAE"/>
    <w:rsid w:val="00B3635F"/>
    <w:rsid w:val="00B36BA3"/>
    <w:rsid w:val="00B373AD"/>
    <w:rsid w:val="00B40057"/>
    <w:rsid w:val="00B40BCD"/>
    <w:rsid w:val="00B41072"/>
    <w:rsid w:val="00B411F3"/>
    <w:rsid w:val="00B42377"/>
    <w:rsid w:val="00B4359E"/>
    <w:rsid w:val="00B44CEC"/>
    <w:rsid w:val="00B44D92"/>
    <w:rsid w:val="00B456E8"/>
    <w:rsid w:val="00B46C41"/>
    <w:rsid w:val="00B509E7"/>
    <w:rsid w:val="00B54142"/>
    <w:rsid w:val="00B541FF"/>
    <w:rsid w:val="00B55495"/>
    <w:rsid w:val="00B55695"/>
    <w:rsid w:val="00B5573E"/>
    <w:rsid w:val="00B567D6"/>
    <w:rsid w:val="00B579DE"/>
    <w:rsid w:val="00B60793"/>
    <w:rsid w:val="00B60B3C"/>
    <w:rsid w:val="00B61889"/>
    <w:rsid w:val="00B61F60"/>
    <w:rsid w:val="00B62B97"/>
    <w:rsid w:val="00B62CF5"/>
    <w:rsid w:val="00B635B7"/>
    <w:rsid w:val="00B642C7"/>
    <w:rsid w:val="00B64409"/>
    <w:rsid w:val="00B648B6"/>
    <w:rsid w:val="00B660BD"/>
    <w:rsid w:val="00B66ADE"/>
    <w:rsid w:val="00B6708D"/>
    <w:rsid w:val="00B67822"/>
    <w:rsid w:val="00B703AC"/>
    <w:rsid w:val="00B706A1"/>
    <w:rsid w:val="00B706BF"/>
    <w:rsid w:val="00B70BE9"/>
    <w:rsid w:val="00B70DB2"/>
    <w:rsid w:val="00B720B8"/>
    <w:rsid w:val="00B720D8"/>
    <w:rsid w:val="00B725E8"/>
    <w:rsid w:val="00B72C78"/>
    <w:rsid w:val="00B736E0"/>
    <w:rsid w:val="00B74BF2"/>
    <w:rsid w:val="00B750B9"/>
    <w:rsid w:val="00B77109"/>
    <w:rsid w:val="00B7746A"/>
    <w:rsid w:val="00B775AE"/>
    <w:rsid w:val="00B8065E"/>
    <w:rsid w:val="00B80697"/>
    <w:rsid w:val="00B8190B"/>
    <w:rsid w:val="00B81DFA"/>
    <w:rsid w:val="00B82496"/>
    <w:rsid w:val="00B826AD"/>
    <w:rsid w:val="00B83272"/>
    <w:rsid w:val="00B83CC4"/>
    <w:rsid w:val="00B850EA"/>
    <w:rsid w:val="00B868F4"/>
    <w:rsid w:val="00B87618"/>
    <w:rsid w:val="00B90734"/>
    <w:rsid w:val="00B92FC2"/>
    <w:rsid w:val="00B93271"/>
    <w:rsid w:val="00B93847"/>
    <w:rsid w:val="00B9393D"/>
    <w:rsid w:val="00B93B6B"/>
    <w:rsid w:val="00B93E48"/>
    <w:rsid w:val="00B946E1"/>
    <w:rsid w:val="00B94958"/>
    <w:rsid w:val="00B95232"/>
    <w:rsid w:val="00B95BBD"/>
    <w:rsid w:val="00B95F74"/>
    <w:rsid w:val="00B9605B"/>
    <w:rsid w:val="00BA118A"/>
    <w:rsid w:val="00BA1A34"/>
    <w:rsid w:val="00BA265C"/>
    <w:rsid w:val="00BA41EB"/>
    <w:rsid w:val="00BA5120"/>
    <w:rsid w:val="00BA5730"/>
    <w:rsid w:val="00BA6BD7"/>
    <w:rsid w:val="00BA6BFD"/>
    <w:rsid w:val="00BA77D5"/>
    <w:rsid w:val="00BA7A60"/>
    <w:rsid w:val="00BB0140"/>
    <w:rsid w:val="00BB0B2B"/>
    <w:rsid w:val="00BB1904"/>
    <w:rsid w:val="00BB1B54"/>
    <w:rsid w:val="00BB3913"/>
    <w:rsid w:val="00BB4BFB"/>
    <w:rsid w:val="00BB60D2"/>
    <w:rsid w:val="00BB62DA"/>
    <w:rsid w:val="00BB67FD"/>
    <w:rsid w:val="00BB7532"/>
    <w:rsid w:val="00BB7F8B"/>
    <w:rsid w:val="00BC1AEF"/>
    <w:rsid w:val="00BC4204"/>
    <w:rsid w:val="00BC4B92"/>
    <w:rsid w:val="00BC4F7E"/>
    <w:rsid w:val="00BC504E"/>
    <w:rsid w:val="00BC5913"/>
    <w:rsid w:val="00BC5D47"/>
    <w:rsid w:val="00BC7A4A"/>
    <w:rsid w:val="00BD02EF"/>
    <w:rsid w:val="00BD089A"/>
    <w:rsid w:val="00BD134B"/>
    <w:rsid w:val="00BD21FB"/>
    <w:rsid w:val="00BD30BD"/>
    <w:rsid w:val="00BD75ED"/>
    <w:rsid w:val="00BE5168"/>
    <w:rsid w:val="00BE5A50"/>
    <w:rsid w:val="00BE5EFD"/>
    <w:rsid w:val="00BF1CFF"/>
    <w:rsid w:val="00BF3CA0"/>
    <w:rsid w:val="00BF5098"/>
    <w:rsid w:val="00C003FB"/>
    <w:rsid w:val="00C00850"/>
    <w:rsid w:val="00C00DAA"/>
    <w:rsid w:val="00C01CE3"/>
    <w:rsid w:val="00C02950"/>
    <w:rsid w:val="00C02DEE"/>
    <w:rsid w:val="00C03BD1"/>
    <w:rsid w:val="00C03C43"/>
    <w:rsid w:val="00C04314"/>
    <w:rsid w:val="00C05025"/>
    <w:rsid w:val="00C05A9C"/>
    <w:rsid w:val="00C06FA0"/>
    <w:rsid w:val="00C07190"/>
    <w:rsid w:val="00C0774C"/>
    <w:rsid w:val="00C10555"/>
    <w:rsid w:val="00C11CF4"/>
    <w:rsid w:val="00C11EC9"/>
    <w:rsid w:val="00C120CC"/>
    <w:rsid w:val="00C14565"/>
    <w:rsid w:val="00C16189"/>
    <w:rsid w:val="00C1632D"/>
    <w:rsid w:val="00C16382"/>
    <w:rsid w:val="00C173CF"/>
    <w:rsid w:val="00C20021"/>
    <w:rsid w:val="00C2073D"/>
    <w:rsid w:val="00C20A95"/>
    <w:rsid w:val="00C20CA6"/>
    <w:rsid w:val="00C20E0A"/>
    <w:rsid w:val="00C20EC9"/>
    <w:rsid w:val="00C2111F"/>
    <w:rsid w:val="00C21F9C"/>
    <w:rsid w:val="00C22310"/>
    <w:rsid w:val="00C23015"/>
    <w:rsid w:val="00C24524"/>
    <w:rsid w:val="00C24CAA"/>
    <w:rsid w:val="00C257D5"/>
    <w:rsid w:val="00C25AC1"/>
    <w:rsid w:val="00C27CFE"/>
    <w:rsid w:val="00C3049A"/>
    <w:rsid w:val="00C329E4"/>
    <w:rsid w:val="00C333C0"/>
    <w:rsid w:val="00C33AA0"/>
    <w:rsid w:val="00C35F6A"/>
    <w:rsid w:val="00C36565"/>
    <w:rsid w:val="00C379F3"/>
    <w:rsid w:val="00C41A79"/>
    <w:rsid w:val="00C41B17"/>
    <w:rsid w:val="00C42C59"/>
    <w:rsid w:val="00C440B4"/>
    <w:rsid w:val="00C44B74"/>
    <w:rsid w:val="00C44C47"/>
    <w:rsid w:val="00C4673D"/>
    <w:rsid w:val="00C46D45"/>
    <w:rsid w:val="00C473DB"/>
    <w:rsid w:val="00C47840"/>
    <w:rsid w:val="00C503FA"/>
    <w:rsid w:val="00C5225E"/>
    <w:rsid w:val="00C527AC"/>
    <w:rsid w:val="00C52C04"/>
    <w:rsid w:val="00C53222"/>
    <w:rsid w:val="00C534F3"/>
    <w:rsid w:val="00C53C35"/>
    <w:rsid w:val="00C5489F"/>
    <w:rsid w:val="00C54C82"/>
    <w:rsid w:val="00C55948"/>
    <w:rsid w:val="00C56A95"/>
    <w:rsid w:val="00C575DB"/>
    <w:rsid w:val="00C57F2C"/>
    <w:rsid w:val="00C607B5"/>
    <w:rsid w:val="00C616A2"/>
    <w:rsid w:val="00C61DC9"/>
    <w:rsid w:val="00C64099"/>
    <w:rsid w:val="00C640CA"/>
    <w:rsid w:val="00C65B30"/>
    <w:rsid w:val="00C6629C"/>
    <w:rsid w:val="00C662B8"/>
    <w:rsid w:val="00C67060"/>
    <w:rsid w:val="00C67633"/>
    <w:rsid w:val="00C679DF"/>
    <w:rsid w:val="00C67F28"/>
    <w:rsid w:val="00C7010F"/>
    <w:rsid w:val="00C702B2"/>
    <w:rsid w:val="00C71373"/>
    <w:rsid w:val="00C7390D"/>
    <w:rsid w:val="00C76199"/>
    <w:rsid w:val="00C7689A"/>
    <w:rsid w:val="00C76B9D"/>
    <w:rsid w:val="00C8136B"/>
    <w:rsid w:val="00C81FC1"/>
    <w:rsid w:val="00C821AB"/>
    <w:rsid w:val="00C83698"/>
    <w:rsid w:val="00C84922"/>
    <w:rsid w:val="00C84AE9"/>
    <w:rsid w:val="00C86EF8"/>
    <w:rsid w:val="00C87685"/>
    <w:rsid w:val="00C879F9"/>
    <w:rsid w:val="00C90CD6"/>
    <w:rsid w:val="00C91222"/>
    <w:rsid w:val="00C9125F"/>
    <w:rsid w:val="00C91BC3"/>
    <w:rsid w:val="00C92B2D"/>
    <w:rsid w:val="00C94C7B"/>
    <w:rsid w:val="00C9728E"/>
    <w:rsid w:val="00CA08C1"/>
    <w:rsid w:val="00CA110D"/>
    <w:rsid w:val="00CA16BB"/>
    <w:rsid w:val="00CA2C39"/>
    <w:rsid w:val="00CA415D"/>
    <w:rsid w:val="00CA4377"/>
    <w:rsid w:val="00CA5CB7"/>
    <w:rsid w:val="00CA6C99"/>
    <w:rsid w:val="00CA6EE1"/>
    <w:rsid w:val="00CB2DCE"/>
    <w:rsid w:val="00CB4905"/>
    <w:rsid w:val="00CB4939"/>
    <w:rsid w:val="00CB7739"/>
    <w:rsid w:val="00CC0C73"/>
    <w:rsid w:val="00CC0DCD"/>
    <w:rsid w:val="00CC0FB8"/>
    <w:rsid w:val="00CC21EB"/>
    <w:rsid w:val="00CC48FA"/>
    <w:rsid w:val="00CC5C52"/>
    <w:rsid w:val="00CC6202"/>
    <w:rsid w:val="00CD0625"/>
    <w:rsid w:val="00CD083F"/>
    <w:rsid w:val="00CD19E4"/>
    <w:rsid w:val="00CD3CC3"/>
    <w:rsid w:val="00CD4DCF"/>
    <w:rsid w:val="00CD65C5"/>
    <w:rsid w:val="00CD6D77"/>
    <w:rsid w:val="00CE0504"/>
    <w:rsid w:val="00CE0B70"/>
    <w:rsid w:val="00CE2816"/>
    <w:rsid w:val="00CE2FAA"/>
    <w:rsid w:val="00CE3646"/>
    <w:rsid w:val="00CE4143"/>
    <w:rsid w:val="00CE4481"/>
    <w:rsid w:val="00CE4951"/>
    <w:rsid w:val="00CE576E"/>
    <w:rsid w:val="00CE5967"/>
    <w:rsid w:val="00CE6879"/>
    <w:rsid w:val="00CE6E4F"/>
    <w:rsid w:val="00CE72C3"/>
    <w:rsid w:val="00CE7DDD"/>
    <w:rsid w:val="00CF1A0D"/>
    <w:rsid w:val="00CF5009"/>
    <w:rsid w:val="00CF5A36"/>
    <w:rsid w:val="00CF5F9A"/>
    <w:rsid w:val="00CF620B"/>
    <w:rsid w:val="00CF772A"/>
    <w:rsid w:val="00CF7C96"/>
    <w:rsid w:val="00D00144"/>
    <w:rsid w:val="00D0103F"/>
    <w:rsid w:val="00D011B6"/>
    <w:rsid w:val="00D02513"/>
    <w:rsid w:val="00D04909"/>
    <w:rsid w:val="00D05A7F"/>
    <w:rsid w:val="00D05DFE"/>
    <w:rsid w:val="00D05EEC"/>
    <w:rsid w:val="00D06A4E"/>
    <w:rsid w:val="00D077BE"/>
    <w:rsid w:val="00D07C85"/>
    <w:rsid w:val="00D102B7"/>
    <w:rsid w:val="00D10473"/>
    <w:rsid w:val="00D11AC8"/>
    <w:rsid w:val="00D134C2"/>
    <w:rsid w:val="00D138AF"/>
    <w:rsid w:val="00D141C4"/>
    <w:rsid w:val="00D1683C"/>
    <w:rsid w:val="00D20079"/>
    <w:rsid w:val="00D20FDD"/>
    <w:rsid w:val="00D21899"/>
    <w:rsid w:val="00D21EE2"/>
    <w:rsid w:val="00D220B5"/>
    <w:rsid w:val="00D2305C"/>
    <w:rsid w:val="00D235C7"/>
    <w:rsid w:val="00D23D61"/>
    <w:rsid w:val="00D27635"/>
    <w:rsid w:val="00D279BF"/>
    <w:rsid w:val="00D30040"/>
    <w:rsid w:val="00D30117"/>
    <w:rsid w:val="00D30393"/>
    <w:rsid w:val="00D30A01"/>
    <w:rsid w:val="00D30C26"/>
    <w:rsid w:val="00D30CBA"/>
    <w:rsid w:val="00D331F1"/>
    <w:rsid w:val="00D3510A"/>
    <w:rsid w:val="00D35582"/>
    <w:rsid w:val="00D373E9"/>
    <w:rsid w:val="00D37B17"/>
    <w:rsid w:val="00D402B5"/>
    <w:rsid w:val="00D40476"/>
    <w:rsid w:val="00D40841"/>
    <w:rsid w:val="00D40AAF"/>
    <w:rsid w:val="00D41D2E"/>
    <w:rsid w:val="00D421DD"/>
    <w:rsid w:val="00D4343E"/>
    <w:rsid w:val="00D436B5"/>
    <w:rsid w:val="00D43F59"/>
    <w:rsid w:val="00D45D38"/>
    <w:rsid w:val="00D47730"/>
    <w:rsid w:val="00D51D51"/>
    <w:rsid w:val="00D5291A"/>
    <w:rsid w:val="00D54D0B"/>
    <w:rsid w:val="00D563D9"/>
    <w:rsid w:val="00D56B10"/>
    <w:rsid w:val="00D57A97"/>
    <w:rsid w:val="00D61200"/>
    <w:rsid w:val="00D615BC"/>
    <w:rsid w:val="00D624DD"/>
    <w:rsid w:val="00D6262A"/>
    <w:rsid w:val="00D63736"/>
    <w:rsid w:val="00D641A1"/>
    <w:rsid w:val="00D65394"/>
    <w:rsid w:val="00D658FB"/>
    <w:rsid w:val="00D66D15"/>
    <w:rsid w:val="00D66F4D"/>
    <w:rsid w:val="00D676EB"/>
    <w:rsid w:val="00D71122"/>
    <w:rsid w:val="00D76192"/>
    <w:rsid w:val="00D805C7"/>
    <w:rsid w:val="00D80AE4"/>
    <w:rsid w:val="00D80B00"/>
    <w:rsid w:val="00D82032"/>
    <w:rsid w:val="00D82AC6"/>
    <w:rsid w:val="00D836E4"/>
    <w:rsid w:val="00D84446"/>
    <w:rsid w:val="00D84A03"/>
    <w:rsid w:val="00D84B58"/>
    <w:rsid w:val="00D853D4"/>
    <w:rsid w:val="00D8588E"/>
    <w:rsid w:val="00D858AA"/>
    <w:rsid w:val="00D874FB"/>
    <w:rsid w:val="00D87799"/>
    <w:rsid w:val="00D9080B"/>
    <w:rsid w:val="00D915A3"/>
    <w:rsid w:val="00D91ECC"/>
    <w:rsid w:val="00D945D9"/>
    <w:rsid w:val="00D94812"/>
    <w:rsid w:val="00D94881"/>
    <w:rsid w:val="00D94CA2"/>
    <w:rsid w:val="00D96506"/>
    <w:rsid w:val="00D96CB9"/>
    <w:rsid w:val="00D97634"/>
    <w:rsid w:val="00DA0F66"/>
    <w:rsid w:val="00DA2014"/>
    <w:rsid w:val="00DA205A"/>
    <w:rsid w:val="00DA2D39"/>
    <w:rsid w:val="00DA4A98"/>
    <w:rsid w:val="00DA4B93"/>
    <w:rsid w:val="00DA4FC6"/>
    <w:rsid w:val="00DA74A1"/>
    <w:rsid w:val="00DA7A12"/>
    <w:rsid w:val="00DA7AB7"/>
    <w:rsid w:val="00DB422F"/>
    <w:rsid w:val="00DB4510"/>
    <w:rsid w:val="00DB46BD"/>
    <w:rsid w:val="00DB5230"/>
    <w:rsid w:val="00DB5233"/>
    <w:rsid w:val="00DB5298"/>
    <w:rsid w:val="00DB57CE"/>
    <w:rsid w:val="00DB5BE8"/>
    <w:rsid w:val="00DB6400"/>
    <w:rsid w:val="00DB7BA4"/>
    <w:rsid w:val="00DC0E77"/>
    <w:rsid w:val="00DC1D8E"/>
    <w:rsid w:val="00DC3240"/>
    <w:rsid w:val="00DC39C9"/>
    <w:rsid w:val="00DC564C"/>
    <w:rsid w:val="00DC62B9"/>
    <w:rsid w:val="00DC66A5"/>
    <w:rsid w:val="00DC7204"/>
    <w:rsid w:val="00DD01EB"/>
    <w:rsid w:val="00DD1076"/>
    <w:rsid w:val="00DD20F2"/>
    <w:rsid w:val="00DD24E3"/>
    <w:rsid w:val="00DD2B50"/>
    <w:rsid w:val="00DD3172"/>
    <w:rsid w:val="00DD32CE"/>
    <w:rsid w:val="00DD369C"/>
    <w:rsid w:val="00DD38C2"/>
    <w:rsid w:val="00DD4FBF"/>
    <w:rsid w:val="00DD57F8"/>
    <w:rsid w:val="00DD69A8"/>
    <w:rsid w:val="00DD748D"/>
    <w:rsid w:val="00DE0EFC"/>
    <w:rsid w:val="00DE2408"/>
    <w:rsid w:val="00DE287E"/>
    <w:rsid w:val="00DE31C8"/>
    <w:rsid w:val="00DE3AD9"/>
    <w:rsid w:val="00DE3C2B"/>
    <w:rsid w:val="00DE3F7B"/>
    <w:rsid w:val="00DE45AA"/>
    <w:rsid w:val="00DE487B"/>
    <w:rsid w:val="00DE49E8"/>
    <w:rsid w:val="00DE5B25"/>
    <w:rsid w:val="00DE6A80"/>
    <w:rsid w:val="00DE7240"/>
    <w:rsid w:val="00DF035E"/>
    <w:rsid w:val="00DF33D1"/>
    <w:rsid w:val="00DF3F53"/>
    <w:rsid w:val="00DF4CBC"/>
    <w:rsid w:val="00DF75CF"/>
    <w:rsid w:val="00DF7E36"/>
    <w:rsid w:val="00E022C0"/>
    <w:rsid w:val="00E027C8"/>
    <w:rsid w:val="00E02C60"/>
    <w:rsid w:val="00E03222"/>
    <w:rsid w:val="00E04AD3"/>
    <w:rsid w:val="00E05135"/>
    <w:rsid w:val="00E10364"/>
    <w:rsid w:val="00E13791"/>
    <w:rsid w:val="00E13AFF"/>
    <w:rsid w:val="00E144AD"/>
    <w:rsid w:val="00E1465B"/>
    <w:rsid w:val="00E157C3"/>
    <w:rsid w:val="00E159BC"/>
    <w:rsid w:val="00E16364"/>
    <w:rsid w:val="00E16FCE"/>
    <w:rsid w:val="00E207C2"/>
    <w:rsid w:val="00E21042"/>
    <w:rsid w:val="00E2134C"/>
    <w:rsid w:val="00E22F5D"/>
    <w:rsid w:val="00E23898"/>
    <w:rsid w:val="00E24210"/>
    <w:rsid w:val="00E25539"/>
    <w:rsid w:val="00E261C7"/>
    <w:rsid w:val="00E268E0"/>
    <w:rsid w:val="00E26B39"/>
    <w:rsid w:val="00E30562"/>
    <w:rsid w:val="00E30728"/>
    <w:rsid w:val="00E31558"/>
    <w:rsid w:val="00E32CE6"/>
    <w:rsid w:val="00E33667"/>
    <w:rsid w:val="00E34748"/>
    <w:rsid w:val="00E3478D"/>
    <w:rsid w:val="00E34AFB"/>
    <w:rsid w:val="00E35076"/>
    <w:rsid w:val="00E35AA2"/>
    <w:rsid w:val="00E37208"/>
    <w:rsid w:val="00E37AA9"/>
    <w:rsid w:val="00E37C28"/>
    <w:rsid w:val="00E40C5B"/>
    <w:rsid w:val="00E425A5"/>
    <w:rsid w:val="00E42904"/>
    <w:rsid w:val="00E433F1"/>
    <w:rsid w:val="00E43CDB"/>
    <w:rsid w:val="00E460D8"/>
    <w:rsid w:val="00E47535"/>
    <w:rsid w:val="00E47B78"/>
    <w:rsid w:val="00E506C5"/>
    <w:rsid w:val="00E51FFA"/>
    <w:rsid w:val="00E526FA"/>
    <w:rsid w:val="00E563FB"/>
    <w:rsid w:val="00E56FCF"/>
    <w:rsid w:val="00E57264"/>
    <w:rsid w:val="00E57EDF"/>
    <w:rsid w:val="00E605AD"/>
    <w:rsid w:val="00E60EA4"/>
    <w:rsid w:val="00E61311"/>
    <w:rsid w:val="00E61894"/>
    <w:rsid w:val="00E61ED7"/>
    <w:rsid w:val="00E61F20"/>
    <w:rsid w:val="00E62224"/>
    <w:rsid w:val="00E62B00"/>
    <w:rsid w:val="00E62B36"/>
    <w:rsid w:val="00E62E2B"/>
    <w:rsid w:val="00E669C6"/>
    <w:rsid w:val="00E66D22"/>
    <w:rsid w:val="00E66E13"/>
    <w:rsid w:val="00E67639"/>
    <w:rsid w:val="00E70BF1"/>
    <w:rsid w:val="00E723DB"/>
    <w:rsid w:val="00E72CAC"/>
    <w:rsid w:val="00E73185"/>
    <w:rsid w:val="00E74095"/>
    <w:rsid w:val="00E7455A"/>
    <w:rsid w:val="00E76DD0"/>
    <w:rsid w:val="00E76FBD"/>
    <w:rsid w:val="00E77442"/>
    <w:rsid w:val="00E77779"/>
    <w:rsid w:val="00E779C8"/>
    <w:rsid w:val="00E77C9E"/>
    <w:rsid w:val="00E80154"/>
    <w:rsid w:val="00E80549"/>
    <w:rsid w:val="00E82CFD"/>
    <w:rsid w:val="00E82E47"/>
    <w:rsid w:val="00E83E49"/>
    <w:rsid w:val="00E854EF"/>
    <w:rsid w:val="00E86AFA"/>
    <w:rsid w:val="00E875EA"/>
    <w:rsid w:val="00E87746"/>
    <w:rsid w:val="00E90328"/>
    <w:rsid w:val="00E91F72"/>
    <w:rsid w:val="00E91FB1"/>
    <w:rsid w:val="00E924DC"/>
    <w:rsid w:val="00E92DAB"/>
    <w:rsid w:val="00E9376A"/>
    <w:rsid w:val="00E93BB8"/>
    <w:rsid w:val="00E93EA2"/>
    <w:rsid w:val="00E966DB"/>
    <w:rsid w:val="00E97296"/>
    <w:rsid w:val="00E97BBB"/>
    <w:rsid w:val="00EA040E"/>
    <w:rsid w:val="00EA1911"/>
    <w:rsid w:val="00EA534C"/>
    <w:rsid w:val="00EA599C"/>
    <w:rsid w:val="00EA6B4F"/>
    <w:rsid w:val="00EA77B0"/>
    <w:rsid w:val="00EB0F03"/>
    <w:rsid w:val="00EB2600"/>
    <w:rsid w:val="00EB3ABA"/>
    <w:rsid w:val="00EB5BF2"/>
    <w:rsid w:val="00EB71FD"/>
    <w:rsid w:val="00EB796C"/>
    <w:rsid w:val="00EC0819"/>
    <w:rsid w:val="00EC375C"/>
    <w:rsid w:val="00EC494C"/>
    <w:rsid w:val="00EC5737"/>
    <w:rsid w:val="00EC7072"/>
    <w:rsid w:val="00EC77B9"/>
    <w:rsid w:val="00ED0378"/>
    <w:rsid w:val="00ED0465"/>
    <w:rsid w:val="00ED1A8C"/>
    <w:rsid w:val="00ED369E"/>
    <w:rsid w:val="00ED6072"/>
    <w:rsid w:val="00EE04FB"/>
    <w:rsid w:val="00EE0A69"/>
    <w:rsid w:val="00EE278A"/>
    <w:rsid w:val="00EE28F7"/>
    <w:rsid w:val="00EE304F"/>
    <w:rsid w:val="00EE4872"/>
    <w:rsid w:val="00EE59B4"/>
    <w:rsid w:val="00EE6E4A"/>
    <w:rsid w:val="00EE7790"/>
    <w:rsid w:val="00EF0ED9"/>
    <w:rsid w:val="00EF1907"/>
    <w:rsid w:val="00EF52EA"/>
    <w:rsid w:val="00EF5725"/>
    <w:rsid w:val="00EF59F4"/>
    <w:rsid w:val="00EF5BFC"/>
    <w:rsid w:val="00EF7B6B"/>
    <w:rsid w:val="00F01D35"/>
    <w:rsid w:val="00F02FBF"/>
    <w:rsid w:val="00F0393A"/>
    <w:rsid w:val="00F04871"/>
    <w:rsid w:val="00F0546D"/>
    <w:rsid w:val="00F06453"/>
    <w:rsid w:val="00F06B8F"/>
    <w:rsid w:val="00F06ECF"/>
    <w:rsid w:val="00F07C32"/>
    <w:rsid w:val="00F10BF0"/>
    <w:rsid w:val="00F12187"/>
    <w:rsid w:val="00F131FC"/>
    <w:rsid w:val="00F1485F"/>
    <w:rsid w:val="00F1696F"/>
    <w:rsid w:val="00F206E0"/>
    <w:rsid w:val="00F20F93"/>
    <w:rsid w:val="00F2121A"/>
    <w:rsid w:val="00F217E9"/>
    <w:rsid w:val="00F2211E"/>
    <w:rsid w:val="00F22760"/>
    <w:rsid w:val="00F23E12"/>
    <w:rsid w:val="00F248A8"/>
    <w:rsid w:val="00F25367"/>
    <w:rsid w:val="00F2597D"/>
    <w:rsid w:val="00F265B4"/>
    <w:rsid w:val="00F26A8A"/>
    <w:rsid w:val="00F26E57"/>
    <w:rsid w:val="00F277BA"/>
    <w:rsid w:val="00F30BAA"/>
    <w:rsid w:val="00F319FD"/>
    <w:rsid w:val="00F32377"/>
    <w:rsid w:val="00F32B40"/>
    <w:rsid w:val="00F33923"/>
    <w:rsid w:val="00F342A6"/>
    <w:rsid w:val="00F34DCE"/>
    <w:rsid w:val="00F35F0A"/>
    <w:rsid w:val="00F4131D"/>
    <w:rsid w:val="00F43262"/>
    <w:rsid w:val="00F44A4D"/>
    <w:rsid w:val="00F452A6"/>
    <w:rsid w:val="00F45CE1"/>
    <w:rsid w:val="00F474C1"/>
    <w:rsid w:val="00F4773B"/>
    <w:rsid w:val="00F50F2F"/>
    <w:rsid w:val="00F52325"/>
    <w:rsid w:val="00F52880"/>
    <w:rsid w:val="00F52E27"/>
    <w:rsid w:val="00F52EA9"/>
    <w:rsid w:val="00F52FE0"/>
    <w:rsid w:val="00F5442B"/>
    <w:rsid w:val="00F55413"/>
    <w:rsid w:val="00F56710"/>
    <w:rsid w:val="00F575ED"/>
    <w:rsid w:val="00F61FF7"/>
    <w:rsid w:val="00F63735"/>
    <w:rsid w:val="00F70744"/>
    <w:rsid w:val="00F70B0D"/>
    <w:rsid w:val="00F70E22"/>
    <w:rsid w:val="00F71271"/>
    <w:rsid w:val="00F72711"/>
    <w:rsid w:val="00F7287E"/>
    <w:rsid w:val="00F73A46"/>
    <w:rsid w:val="00F73DB2"/>
    <w:rsid w:val="00F740CA"/>
    <w:rsid w:val="00F755F5"/>
    <w:rsid w:val="00F75A10"/>
    <w:rsid w:val="00F75C3D"/>
    <w:rsid w:val="00F75D71"/>
    <w:rsid w:val="00F7630B"/>
    <w:rsid w:val="00F76A7B"/>
    <w:rsid w:val="00F76B91"/>
    <w:rsid w:val="00F80CA2"/>
    <w:rsid w:val="00F81478"/>
    <w:rsid w:val="00F839CF"/>
    <w:rsid w:val="00F83F79"/>
    <w:rsid w:val="00F84C1F"/>
    <w:rsid w:val="00F84EEA"/>
    <w:rsid w:val="00F916FE"/>
    <w:rsid w:val="00F92B0E"/>
    <w:rsid w:val="00F9316E"/>
    <w:rsid w:val="00F93765"/>
    <w:rsid w:val="00F954A0"/>
    <w:rsid w:val="00F956C4"/>
    <w:rsid w:val="00F96293"/>
    <w:rsid w:val="00F965AD"/>
    <w:rsid w:val="00F970BB"/>
    <w:rsid w:val="00FA38F1"/>
    <w:rsid w:val="00FA40F6"/>
    <w:rsid w:val="00FA42AD"/>
    <w:rsid w:val="00FA5C06"/>
    <w:rsid w:val="00FA5C87"/>
    <w:rsid w:val="00FA6D45"/>
    <w:rsid w:val="00FA7D9A"/>
    <w:rsid w:val="00FB04AF"/>
    <w:rsid w:val="00FB11ED"/>
    <w:rsid w:val="00FB15C1"/>
    <w:rsid w:val="00FB2217"/>
    <w:rsid w:val="00FB23B5"/>
    <w:rsid w:val="00FB28FF"/>
    <w:rsid w:val="00FB352B"/>
    <w:rsid w:val="00FB3637"/>
    <w:rsid w:val="00FB6718"/>
    <w:rsid w:val="00FB688D"/>
    <w:rsid w:val="00FB6E8D"/>
    <w:rsid w:val="00FB7666"/>
    <w:rsid w:val="00FB7753"/>
    <w:rsid w:val="00FB781A"/>
    <w:rsid w:val="00FB7AA9"/>
    <w:rsid w:val="00FC057F"/>
    <w:rsid w:val="00FC05D0"/>
    <w:rsid w:val="00FC0F86"/>
    <w:rsid w:val="00FC3E59"/>
    <w:rsid w:val="00FC5907"/>
    <w:rsid w:val="00FC6702"/>
    <w:rsid w:val="00FC7083"/>
    <w:rsid w:val="00FC7401"/>
    <w:rsid w:val="00FD02A6"/>
    <w:rsid w:val="00FD1324"/>
    <w:rsid w:val="00FD1F39"/>
    <w:rsid w:val="00FD217F"/>
    <w:rsid w:val="00FD2D4A"/>
    <w:rsid w:val="00FD47D6"/>
    <w:rsid w:val="00FD6190"/>
    <w:rsid w:val="00FD639F"/>
    <w:rsid w:val="00FD6A69"/>
    <w:rsid w:val="00FE0AEE"/>
    <w:rsid w:val="00FE2879"/>
    <w:rsid w:val="00FE3525"/>
    <w:rsid w:val="00FE441D"/>
    <w:rsid w:val="00FE4700"/>
    <w:rsid w:val="00FE53A3"/>
    <w:rsid w:val="00FE5E5A"/>
    <w:rsid w:val="00FE5E66"/>
    <w:rsid w:val="00FF11AB"/>
    <w:rsid w:val="00FF13A3"/>
    <w:rsid w:val="00FF1A9A"/>
    <w:rsid w:val="00FF2EB2"/>
    <w:rsid w:val="00FF3576"/>
    <w:rsid w:val="00FF49FA"/>
    <w:rsid w:val="00FF4D1A"/>
    <w:rsid w:val="00FF5758"/>
    <w:rsid w:val="00FF5CD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8193"/>
    <o:shapelayout v:ext="edit">
      <o:idmap v:ext="edit" data="1"/>
    </o:shapelayout>
  </w:shapeDefaults>
  <w:decimalSymbol w:val=","/>
  <w:listSeparator w:val=";"/>
  <w14:docId w14:val="5A083E7F"/>
  <w15:docId w15:val="{9ED0CF25-D757-40AF-9F52-6228D70B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F21"/>
    <w:rPr>
      <w:rFonts w:ascii="Times New Roman" w:eastAsia="Times New Roman" w:hAnsi="Times New Roman"/>
      <w:sz w:val="24"/>
      <w:szCs w:val="24"/>
    </w:rPr>
  </w:style>
  <w:style w:type="paragraph" w:styleId="Ttulo3">
    <w:name w:val="heading 3"/>
    <w:basedOn w:val="Normal"/>
    <w:next w:val="Normal"/>
    <w:link w:val="Ttulo3Car"/>
    <w:qFormat/>
    <w:rsid w:val="008C0F21"/>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E37208"/>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487577"/>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C0F21"/>
    <w:pPr>
      <w:tabs>
        <w:tab w:val="center" w:pos="4252"/>
        <w:tab w:val="right" w:pos="8504"/>
      </w:tabs>
    </w:pPr>
  </w:style>
  <w:style w:type="character" w:customStyle="1" w:styleId="EncabezadoCar">
    <w:name w:val="Encabezado Car"/>
    <w:basedOn w:val="Fuentedeprrafopredeter"/>
    <w:link w:val="Encabezado"/>
    <w:uiPriority w:val="99"/>
    <w:semiHidden/>
    <w:rsid w:val="008C0F21"/>
  </w:style>
  <w:style w:type="paragraph" w:styleId="Piedepgina">
    <w:name w:val="footer"/>
    <w:basedOn w:val="Normal"/>
    <w:link w:val="PiedepginaCar"/>
    <w:uiPriority w:val="99"/>
    <w:semiHidden/>
    <w:unhideWhenUsed/>
    <w:rsid w:val="008C0F21"/>
    <w:pPr>
      <w:tabs>
        <w:tab w:val="center" w:pos="4252"/>
        <w:tab w:val="right" w:pos="8504"/>
      </w:tabs>
    </w:pPr>
  </w:style>
  <w:style w:type="character" w:customStyle="1" w:styleId="PiedepginaCar">
    <w:name w:val="Pie de página Car"/>
    <w:basedOn w:val="Fuentedeprrafopredeter"/>
    <w:link w:val="Piedepgina"/>
    <w:uiPriority w:val="99"/>
    <w:semiHidden/>
    <w:rsid w:val="008C0F21"/>
  </w:style>
  <w:style w:type="paragraph" w:styleId="Textodeglobo">
    <w:name w:val="Balloon Text"/>
    <w:basedOn w:val="Normal"/>
    <w:link w:val="TextodegloboCar"/>
    <w:uiPriority w:val="99"/>
    <w:semiHidden/>
    <w:unhideWhenUsed/>
    <w:rsid w:val="008C0F21"/>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F21"/>
    <w:rPr>
      <w:rFonts w:ascii="Tahoma" w:hAnsi="Tahoma" w:cs="Tahoma"/>
      <w:sz w:val="16"/>
      <w:szCs w:val="16"/>
    </w:rPr>
  </w:style>
  <w:style w:type="character" w:customStyle="1" w:styleId="Ttulo3Car">
    <w:name w:val="Título 3 Car"/>
    <w:basedOn w:val="Fuentedeprrafopredeter"/>
    <w:link w:val="Ttulo3"/>
    <w:rsid w:val="008C0F21"/>
    <w:rPr>
      <w:rFonts w:ascii="Cambria" w:eastAsia="Times New Roman" w:hAnsi="Cambria" w:cs="Times New Roman"/>
      <w:b/>
      <w:bCs/>
      <w:sz w:val="26"/>
      <w:szCs w:val="26"/>
      <w:lang w:eastAsia="es-ES"/>
    </w:rPr>
  </w:style>
  <w:style w:type="paragraph" w:styleId="NormalWeb">
    <w:name w:val="Normal (Web)"/>
    <w:basedOn w:val="Normal"/>
    <w:uiPriority w:val="99"/>
    <w:qFormat/>
    <w:rsid w:val="008C0F21"/>
    <w:pPr>
      <w:spacing w:before="100" w:beforeAutospacing="1" w:after="100" w:afterAutospacing="1"/>
    </w:pPr>
  </w:style>
  <w:style w:type="character" w:styleId="Textoennegrita">
    <w:name w:val="Strong"/>
    <w:uiPriority w:val="22"/>
    <w:qFormat/>
    <w:rsid w:val="008C0F21"/>
    <w:rPr>
      <w:b/>
      <w:bCs/>
    </w:rPr>
  </w:style>
  <w:style w:type="paragraph" w:styleId="Textonotapie">
    <w:name w:val="footnote text"/>
    <w:basedOn w:val="Normal"/>
    <w:link w:val="TextonotapieCar"/>
    <w:rsid w:val="008C0F21"/>
    <w:rPr>
      <w:sz w:val="20"/>
      <w:szCs w:val="20"/>
    </w:rPr>
  </w:style>
  <w:style w:type="character" w:customStyle="1" w:styleId="TextonotapieCar">
    <w:name w:val="Texto nota pie Car"/>
    <w:basedOn w:val="Fuentedeprrafopredeter"/>
    <w:link w:val="Textonotapie"/>
    <w:rsid w:val="008C0F21"/>
    <w:rPr>
      <w:rFonts w:ascii="Times New Roman" w:eastAsia="Times New Roman" w:hAnsi="Times New Roman" w:cs="Times New Roman"/>
      <w:sz w:val="20"/>
      <w:szCs w:val="20"/>
      <w:lang w:eastAsia="es-ES"/>
    </w:rPr>
  </w:style>
  <w:style w:type="character" w:customStyle="1" w:styleId="af-doc-l-nav-esp">
    <w:name w:val="af-doc-l-nav-esp"/>
    <w:rsid w:val="008C0F21"/>
  </w:style>
  <w:style w:type="paragraph" w:customStyle="1" w:styleId="Default">
    <w:name w:val="Default"/>
    <w:rsid w:val="008C0F21"/>
    <w:pPr>
      <w:autoSpaceDE w:val="0"/>
      <w:autoSpaceDN w:val="0"/>
      <w:adjustRightInd w:val="0"/>
    </w:pPr>
    <w:rPr>
      <w:rFonts w:ascii="Univers" w:eastAsia="Times New Roman" w:hAnsi="Univers" w:cs="Univers"/>
      <w:color w:val="000000"/>
      <w:sz w:val="24"/>
      <w:szCs w:val="24"/>
    </w:rPr>
  </w:style>
  <w:style w:type="paragraph" w:customStyle="1" w:styleId="Estndar">
    <w:name w:val="Estándar"/>
    <w:basedOn w:val="Normal"/>
    <w:rsid w:val="008C0F21"/>
    <w:pPr>
      <w:overflowPunct w:val="0"/>
      <w:autoSpaceDE w:val="0"/>
      <w:autoSpaceDN w:val="0"/>
      <w:adjustRightInd w:val="0"/>
    </w:pPr>
    <w:rPr>
      <w:szCs w:val="20"/>
      <w:lang w:val="en-US"/>
    </w:rPr>
  </w:style>
  <w:style w:type="paragraph" w:styleId="Prrafodelista">
    <w:name w:val="List Paragraph"/>
    <w:basedOn w:val="Normal"/>
    <w:uiPriority w:val="34"/>
    <w:qFormat/>
    <w:rsid w:val="008C0F21"/>
    <w:pPr>
      <w:spacing w:after="200" w:line="276" w:lineRule="auto"/>
      <w:ind w:left="720"/>
      <w:contextualSpacing/>
    </w:pPr>
    <w:rPr>
      <w:rFonts w:ascii="Calibri" w:hAnsi="Calibri"/>
      <w:sz w:val="22"/>
      <w:szCs w:val="22"/>
      <w:lang w:eastAsia="en-US"/>
    </w:rPr>
  </w:style>
  <w:style w:type="paragraph" w:customStyle="1" w:styleId="parrafo2">
    <w:name w:val="parrafo_2"/>
    <w:basedOn w:val="Normal"/>
    <w:rsid w:val="00F06453"/>
    <w:pPr>
      <w:spacing w:before="100" w:beforeAutospacing="1" w:after="100" w:afterAutospacing="1"/>
    </w:pPr>
  </w:style>
  <w:style w:type="paragraph" w:customStyle="1" w:styleId="parrafo">
    <w:name w:val="parrafo"/>
    <w:basedOn w:val="Normal"/>
    <w:rsid w:val="00F06453"/>
    <w:pPr>
      <w:spacing w:before="100" w:beforeAutospacing="1" w:after="100" w:afterAutospacing="1"/>
    </w:pPr>
  </w:style>
  <w:style w:type="table" w:styleId="Tablaconcuadrcula">
    <w:name w:val="Table Grid"/>
    <w:basedOn w:val="Tablanormal"/>
    <w:uiPriority w:val="59"/>
    <w:rsid w:val="003B6C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rsid w:val="00715FEC"/>
    <w:pPr>
      <w:spacing w:before="100" w:beforeAutospacing="1" w:after="100" w:afterAutospacing="1"/>
    </w:pPr>
  </w:style>
  <w:style w:type="character" w:styleId="nfasis">
    <w:name w:val="Emphasis"/>
    <w:basedOn w:val="Fuentedeprrafopredeter"/>
    <w:uiPriority w:val="20"/>
    <w:qFormat/>
    <w:rsid w:val="00715FEC"/>
    <w:rPr>
      <w:i/>
      <w:iCs/>
    </w:rPr>
  </w:style>
  <w:style w:type="character" w:customStyle="1" w:styleId="apple-converted-space">
    <w:name w:val="apple-converted-space"/>
    <w:basedOn w:val="Fuentedeprrafopredeter"/>
    <w:rsid w:val="00715FEC"/>
  </w:style>
  <w:style w:type="character" w:styleId="Hipervnculo">
    <w:name w:val="Hyperlink"/>
    <w:basedOn w:val="Fuentedeprrafopredeter"/>
    <w:uiPriority w:val="99"/>
    <w:unhideWhenUsed/>
    <w:rsid w:val="00715FEC"/>
    <w:rPr>
      <w:color w:val="0000FF"/>
      <w:u w:val="single"/>
    </w:rPr>
  </w:style>
  <w:style w:type="character" w:customStyle="1" w:styleId="Ttulo4Car">
    <w:name w:val="Título 4 Car"/>
    <w:basedOn w:val="Fuentedeprrafopredeter"/>
    <w:link w:val="Ttulo4"/>
    <w:uiPriority w:val="9"/>
    <w:semiHidden/>
    <w:rsid w:val="00E37208"/>
    <w:rPr>
      <w:rFonts w:ascii="Calibri" w:eastAsia="Times New Roman" w:hAnsi="Calibri" w:cs="Times New Roman"/>
      <w:b/>
      <w:bCs/>
      <w:sz w:val="28"/>
      <w:szCs w:val="28"/>
    </w:rPr>
  </w:style>
  <w:style w:type="paragraph" w:customStyle="1" w:styleId="articulo">
    <w:name w:val="articulo"/>
    <w:basedOn w:val="Normal"/>
    <w:rsid w:val="00E37208"/>
    <w:pPr>
      <w:spacing w:before="100" w:beforeAutospacing="1" w:after="100" w:afterAutospacing="1"/>
    </w:pPr>
  </w:style>
  <w:style w:type="character" w:customStyle="1" w:styleId="linktodoc">
    <w:name w:val="linktodoc"/>
    <w:basedOn w:val="Fuentedeprrafopredeter"/>
    <w:rsid w:val="004F6378"/>
  </w:style>
  <w:style w:type="paragraph" w:styleId="Textoindependiente">
    <w:name w:val="Body Text"/>
    <w:basedOn w:val="Normal"/>
    <w:link w:val="TextoindependienteCar"/>
    <w:semiHidden/>
    <w:rsid w:val="00AE29AD"/>
    <w:pPr>
      <w:jc w:val="center"/>
    </w:pPr>
    <w:rPr>
      <w:sz w:val="28"/>
      <w:szCs w:val="28"/>
    </w:rPr>
  </w:style>
  <w:style w:type="character" w:customStyle="1" w:styleId="TextoindependienteCar">
    <w:name w:val="Texto independiente Car"/>
    <w:basedOn w:val="Fuentedeprrafopredeter"/>
    <w:link w:val="Textoindependiente"/>
    <w:semiHidden/>
    <w:rsid w:val="00AE29AD"/>
    <w:rPr>
      <w:rFonts w:ascii="Times New Roman" w:eastAsia="Times New Roman" w:hAnsi="Times New Roman"/>
      <w:sz w:val="28"/>
      <w:szCs w:val="28"/>
    </w:rPr>
  </w:style>
  <w:style w:type="paragraph" w:customStyle="1" w:styleId="Normal0">
    <w:name w:val="Normal_0"/>
    <w:qFormat/>
    <w:rsid w:val="001D3B9A"/>
    <w:rPr>
      <w:rFonts w:ascii="Times New Roman" w:eastAsia="Times New Roman" w:hAnsi="Times New Roman"/>
      <w:sz w:val="24"/>
      <w:szCs w:val="24"/>
    </w:rPr>
  </w:style>
  <w:style w:type="paragraph" w:customStyle="1" w:styleId="pa10">
    <w:name w:val="pa10"/>
    <w:basedOn w:val="Normal"/>
    <w:rsid w:val="005D08DA"/>
    <w:pPr>
      <w:spacing w:before="100" w:beforeAutospacing="1" w:after="100" w:afterAutospacing="1"/>
    </w:pPr>
  </w:style>
  <w:style w:type="character" w:customStyle="1" w:styleId="Ttulo5Car">
    <w:name w:val="Título 5 Car"/>
    <w:basedOn w:val="Fuentedeprrafopredeter"/>
    <w:link w:val="Ttulo5"/>
    <w:uiPriority w:val="9"/>
    <w:semiHidden/>
    <w:rsid w:val="00487577"/>
    <w:rPr>
      <w:rFonts w:asciiTheme="majorHAnsi" w:eastAsiaTheme="majorEastAsia" w:hAnsiTheme="majorHAnsi" w:cstheme="majorBidi"/>
      <w:color w:val="243F60" w:themeColor="accent1" w:themeShade="7F"/>
      <w:sz w:val="24"/>
      <w:szCs w:val="24"/>
    </w:rPr>
  </w:style>
  <w:style w:type="paragraph" w:styleId="Textosinformato">
    <w:name w:val="Plain Text"/>
    <w:aliases w:val=" Car,Car"/>
    <w:basedOn w:val="Normal"/>
    <w:link w:val="TextosinformatoCar"/>
    <w:rsid w:val="00446C56"/>
    <w:rPr>
      <w:rFonts w:ascii="Courier New" w:hAnsi="Courier New"/>
      <w:sz w:val="20"/>
      <w:szCs w:val="20"/>
    </w:rPr>
  </w:style>
  <w:style w:type="character" w:customStyle="1" w:styleId="TextosinformatoCar">
    <w:name w:val="Texto sin formato Car"/>
    <w:aliases w:val=" Car Car,Car Car"/>
    <w:basedOn w:val="Fuentedeprrafopredeter"/>
    <w:link w:val="Textosinformato"/>
    <w:rsid w:val="00446C56"/>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7253">
      <w:bodyDiv w:val="1"/>
      <w:marLeft w:val="0"/>
      <w:marRight w:val="0"/>
      <w:marTop w:val="0"/>
      <w:marBottom w:val="0"/>
      <w:divBdr>
        <w:top w:val="none" w:sz="0" w:space="0" w:color="auto"/>
        <w:left w:val="none" w:sz="0" w:space="0" w:color="auto"/>
        <w:bottom w:val="none" w:sz="0" w:space="0" w:color="auto"/>
        <w:right w:val="none" w:sz="0" w:space="0" w:color="auto"/>
      </w:divBdr>
    </w:div>
    <w:div w:id="108286624">
      <w:bodyDiv w:val="1"/>
      <w:marLeft w:val="0"/>
      <w:marRight w:val="0"/>
      <w:marTop w:val="0"/>
      <w:marBottom w:val="0"/>
      <w:divBdr>
        <w:top w:val="none" w:sz="0" w:space="0" w:color="auto"/>
        <w:left w:val="none" w:sz="0" w:space="0" w:color="auto"/>
        <w:bottom w:val="none" w:sz="0" w:space="0" w:color="auto"/>
        <w:right w:val="none" w:sz="0" w:space="0" w:color="auto"/>
      </w:divBdr>
    </w:div>
    <w:div w:id="349453083">
      <w:bodyDiv w:val="1"/>
      <w:marLeft w:val="0"/>
      <w:marRight w:val="0"/>
      <w:marTop w:val="0"/>
      <w:marBottom w:val="0"/>
      <w:divBdr>
        <w:top w:val="none" w:sz="0" w:space="0" w:color="auto"/>
        <w:left w:val="none" w:sz="0" w:space="0" w:color="auto"/>
        <w:bottom w:val="none" w:sz="0" w:space="0" w:color="auto"/>
        <w:right w:val="none" w:sz="0" w:space="0" w:color="auto"/>
      </w:divBdr>
    </w:div>
    <w:div w:id="452745895">
      <w:bodyDiv w:val="1"/>
      <w:marLeft w:val="0"/>
      <w:marRight w:val="0"/>
      <w:marTop w:val="0"/>
      <w:marBottom w:val="0"/>
      <w:divBdr>
        <w:top w:val="none" w:sz="0" w:space="0" w:color="auto"/>
        <w:left w:val="none" w:sz="0" w:space="0" w:color="auto"/>
        <w:bottom w:val="none" w:sz="0" w:space="0" w:color="auto"/>
        <w:right w:val="none" w:sz="0" w:space="0" w:color="auto"/>
      </w:divBdr>
    </w:div>
    <w:div w:id="511802064">
      <w:bodyDiv w:val="1"/>
      <w:marLeft w:val="0"/>
      <w:marRight w:val="0"/>
      <w:marTop w:val="0"/>
      <w:marBottom w:val="0"/>
      <w:divBdr>
        <w:top w:val="none" w:sz="0" w:space="0" w:color="auto"/>
        <w:left w:val="none" w:sz="0" w:space="0" w:color="auto"/>
        <w:bottom w:val="none" w:sz="0" w:space="0" w:color="auto"/>
        <w:right w:val="none" w:sz="0" w:space="0" w:color="auto"/>
      </w:divBdr>
    </w:div>
    <w:div w:id="555625666">
      <w:bodyDiv w:val="1"/>
      <w:marLeft w:val="0"/>
      <w:marRight w:val="0"/>
      <w:marTop w:val="0"/>
      <w:marBottom w:val="0"/>
      <w:divBdr>
        <w:top w:val="none" w:sz="0" w:space="0" w:color="auto"/>
        <w:left w:val="none" w:sz="0" w:space="0" w:color="auto"/>
        <w:bottom w:val="none" w:sz="0" w:space="0" w:color="auto"/>
        <w:right w:val="none" w:sz="0" w:space="0" w:color="auto"/>
      </w:divBdr>
    </w:div>
    <w:div w:id="576474851">
      <w:bodyDiv w:val="1"/>
      <w:marLeft w:val="0"/>
      <w:marRight w:val="0"/>
      <w:marTop w:val="0"/>
      <w:marBottom w:val="0"/>
      <w:divBdr>
        <w:top w:val="none" w:sz="0" w:space="0" w:color="auto"/>
        <w:left w:val="none" w:sz="0" w:space="0" w:color="auto"/>
        <w:bottom w:val="none" w:sz="0" w:space="0" w:color="auto"/>
        <w:right w:val="none" w:sz="0" w:space="0" w:color="auto"/>
      </w:divBdr>
    </w:div>
    <w:div w:id="617837813">
      <w:bodyDiv w:val="1"/>
      <w:marLeft w:val="0"/>
      <w:marRight w:val="0"/>
      <w:marTop w:val="0"/>
      <w:marBottom w:val="0"/>
      <w:divBdr>
        <w:top w:val="none" w:sz="0" w:space="0" w:color="auto"/>
        <w:left w:val="none" w:sz="0" w:space="0" w:color="auto"/>
        <w:bottom w:val="none" w:sz="0" w:space="0" w:color="auto"/>
        <w:right w:val="none" w:sz="0" w:space="0" w:color="auto"/>
      </w:divBdr>
      <w:divsChild>
        <w:div w:id="83038754">
          <w:marLeft w:val="0"/>
          <w:marRight w:val="0"/>
          <w:marTop w:val="0"/>
          <w:marBottom w:val="0"/>
          <w:divBdr>
            <w:top w:val="none" w:sz="0" w:space="0" w:color="auto"/>
            <w:left w:val="none" w:sz="0" w:space="0" w:color="auto"/>
            <w:bottom w:val="none" w:sz="0" w:space="0" w:color="auto"/>
            <w:right w:val="none" w:sz="0" w:space="0" w:color="auto"/>
          </w:divBdr>
        </w:div>
        <w:div w:id="213736216">
          <w:marLeft w:val="0"/>
          <w:marRight w:val="0"/>
          <w:marTop w:val="0"/>
          <w:marBottom w:val="0"/>
          <w:divBdr>
            <w:top w:val="none" w:sz="0" w:space="0" w:color="auto"/>
            <w:left w:val="none" w:sz="0" w:space="0" w:color="auto"/>
            <w:bottom w:val="none" w:sz="0" w:space="0" w:color="auto"/>
            <w:right w:val="none" w:sz="0" w:space="0" w:color="auto"/>
          </w:divBdr>
        </w:div>
        <w:div w:id="219365851">
          <w:marLeft w:val="0"/>
          <w:marRight w:val="0"/>
          <w:marTop w:val="0"/>
          <w:marBottom w:val="0"/>
          <w:divBdr>
            <w:top w:val="none" w:sz="0" w:space="0" w:color="auto"/>
            <w:left w:val="none" w:sz="0" w:space="0" w:color="auto"/>
            <w:bottom w:val="none" w:sz="0" w:space="0" w:color="auto"/>
            <w:right w:val="none" w:sz="0" w:space="0" w:color="auto"/>
          </w:divBdr>
        </w:div>
        <w:div w:id="226771551">
          <w:marLeft w:val="0"/>
          <w:marRight w:val="0"/>
          <w:marTop w:val="0"/>
          <w:marBottom w:val="0"/>
          <w:divBdr>
            <w:top w:val="none" w:sz="0" w:space="0" w:color="auto"/>
            <w:left w:val="none" w:sz="0" w:space="0" w:color="auto"/>
            <w:bottom w:val="none" w:sz="0" w:space="0" w:color="auto"/>
            <w:right w:val="none" w:sz="0" w:space="0" w:color="auto"/>
          </w:divBdr>
        </w:div>
        <w:div w:id="304051051">
          <w:marLeft w:val="0"/>
          <w:marRight w:val="0"/>
          <w:marTop w:val="0"/>
          <w:marBottom w:val="0"/>
          <w:divBdr>
            <w:top w:val="none" w:sz="0" w:space="0" w:color="auto"/>
            <w:left w:val="none" w:sz="0" w:space="0" w:color="auto"/>
            <w:bottom w:val="none" w:sz="0" w:space="0" w:color="auto"/>
            <w:right w:val="none" w:sz="0" w:space="0" w:color="auto"/>
          </w:divBdr>
        </w:div>
        <w:div w:id="307445933">
          <w:marLeft w:val="0"/>
          <w:marRight w:val="0"/>
          <w:marTop w:val="0"/>
          <w:marBottom w:val="0"/>
          <w:divBdr>
            <w:top w:val="none" w:sz="0" w:space="0" w:color="auto"/>
            <w:left w:val="none" w:sz="0" w:space="0" w:color="auto"/>
            <w:bottom w:val="none" w:sz="0" w:space="0" w:color="auto"/>
            <w:right w:val="none" w:sz="0" w:space="0" w:color="auto"/>
          </w:divBdr>
        </w:div>
        <w:div w:id="522745390">
          <w:marLeft w:val="0"/>
          <w:marRight w:val="0"/>
          <w:marTop w:val="0"/>
          <w:marBottom w:val="0"/>
          <w:divBdr>
            <w:top w:val="none" w:sz="0" w:space="0" w:color="auto"/>
            <w:left w:val="none" w:sz="0" w:space="0" w:color="auto"/>
            <w:bottom w:val="none" w:sz="0" w:space="0" w:color="auto"/>
            <w:right w:val="none" w:sz="0" w:space="0" w:color="auto"/>
          </w:divBdr>
        </w:div>
        <w:div w:id="674650718">
          <w:marLeft w:val="0"/>
          <w:marRight w:val="0"/>
          <w:marTop w:val="0"/>
          <w:marBottom w:val="0"/>
          <w:divBdr>
            <w:top w:val="none" w:sz="0" w:space="0" w:color="auto"/>
            <w:left w:val="none" w:sz="0" w:space="0" w:color="auto"/>
            <w:bottom w:val="none" w:sz="0" w:space="0" w:color="auto"/>
            <w:right w:val="none" w:sz="0" w:space="0" w:color="auto"/>
          </w:divBdr>
        </w:div>
        <w:div w:id="961156689">
          <w:marLeft w:val="0"/>
          <w:marRight w:val="0"/>
          <w:marTop w:val="0"/>
          <w:marBottom w:val="0"/>
          <w:divBdr>
            <w:top w:val="none" w:sz="0" w:space="0" w:color="auto"/>
            <w:left w:val="none" w:sz="0" w:space="0" w:color="auto"/>
            <w:bottom w:val="none" w:sz="0" w:space="0" w:color="auto"/>
            <w:right w:val="none" w:sz="0" w:space="0" w:color="auto"/>
          </w:divBdr>
        </w:div>
        <w:div w:id="1087964275">
          <w:marLeft w:val="0"/>
          <w:marRight w:val="0"/>
          <w:marTop w:val="0"/>
          <w:marBottom w:val="0"/>
          <w:divBdr>
            <w:top w:val="none" w:sz="0" w:space="0" w:color="auto"/>
            <w:left w:val="none" w:sz="0" w:space="0" w:color="auto"/>
            <w:bottom w:val="none" w:sz="0" w:space="0" w:color="auto"/>
            <w:right w:val="none" w:sz="0" w:space="0" w:color="auto"/>
          </w:divBdr>
        </w:div>
        <w:div w:id="1220827199">
          <w:marLeft w:val="0"/>
          <w:marRight w:val="0"/>
          <w:marTop w:val="0"/>
          <w:marBottom w:val="0"/>
          <w:divBdr>
            <w:top w:val="none" w:sz="0" w:space="0" w:color="auto"/>
            <w:left w:val="none" w:sz="0" w:space="0" w:color="auto"/>
            <w:bottom w:val="none" w:sz="0" w:space="0" w:color="auto"/>
            <w:right w:val="none" w:sz="0" w:space="0" w:color="auto"/>
          </w:divBdr>
        </w:div>
        <w:div w:id="1373925727">
          <w:marLeft w:val="0"/>
          <w:marRight w:val="0"/>
          <w:marTop w:val="0"/>
          <w:marBottom w:val="0"/>
          <w:divBdr>
            <w:top w:val="none" w:sz="0" w:space="0" w:color="auto"/>
            <w:left w:val="none" w:sz="0" w:space="0" w:color="auto"/>
            <w:bottom w:val="none" w:sz="0" w:space="0" w:color="auto"/>
            <w:right w:val="none" w:sz="0" w:space="0" w:color="auto"/>
          </w:divBdr>
        </w:div>
        <w:div w:id="1382098306">
          <w:marLeft w:val="0"/>
          <w:marRight w:val="0"/>
          <w:marTop w:val="0"/>
          <w:marBottom w:val="0"/>
          <w:divBdr>
            <w:top w:val="none" w:sz="0" w:space="0" w:color="auto"/>
            <w:left w:val="none" w:sz="0" w:space="0" w:color="auto"/>
            <w:bottom w:val="none" w:sz="0" w:space="0" w:color="auto"/>
            <w:right w:val="none" w:sz="0" w:space="0" w:color="auto"/>
          </w:divBdr>
        </w:div>
        <w:div w:id="1831867634">
          <w:marLeft w:val="0"/>
          <w:marRight w:val="0"/>
          <w:marTop w:val="0"/>
          <w:marBottom w:val="0"/>
          <w:divBdr>
            <w:top w:val="none" w:sz="0" w:space="0" w:color="auto"/>
            <w:left w:val="none" w:sz="0" w:space="0" w:color="auto"/>
            <w:bottom w:val="none" w:sz="0" w:space="0" w:color="auto"/>
            <w:right w:val="none" w:sz="0" w:space="0" w:color="auto"/>
          </w:divBdr>
        </w:div>
        <w:div w:id="1949777800">
          <w:marLeft w:val="0"/>
          <w:marRight w:val="0"/>
          <w:marTop w:val="0"/>
          <w:marBottom w:val="0"/>
          <w:divBdr>
            <w:top w:val="none" w:sz="0" w:space="0" w:color="auto"/>
            <w:left w:val="none" w:sz="0" w:space="0" w:color="auto"/>
            <w:bottom w:val="none" w:sz="0" w:space="0" w:color="auto"/>
            <w:right w:val="none" w:sz="0" w:space="0" w:color="auto"/>
          </w:divBdr>
        </w:div>
        <w:div w:id="1965768268">
          <w:marLeft w:val="0"/>
          <w:marRight w:val="0"/>
          <w:marTop w:val="0"/>
          <w:marBottom w:val="0"/>
          <w:divBdr>
            <w:top w:val="none" w:sz="0" w:space="0" w:color="auto"/>
            <w:left w:val="none" w:sz="0" w:space="0" w:color="auto"/>
            <w:bottom w:val="none" w:sz="0" w:space="0" w:color="auto"/>
            <w:right w:val="none" w:sz="0" w:space="0" w:color="auto"/>
          </w:divBdr>
        </w:div>
        <w:div w:id="2092047501">
          <w:marLeft w:val="0"/>
          <w:marRight w:val="0"/>
          <w:marTop w:val="0"/>
          <w:marBottom w:val="0"/>
          <w:divBdr>
            <w:top w:val="none" w:sz="0" w:space="0" w:color="auto"/>
            <w:left w:val="none" w:sz="0" w:space="0" w:color="auto"/>
            <w:bottom w:val="none" w:sz="0" w:space="0" w:color="auto"/>
            <w:right w:val="none" w:sz="0" w:space="0" w:color="auto"/>
          </w:divBdr>
        </w:div>
      </w:divsChild>
    </w:div>
    <w:div w:id="726996262">
      <w:bodyDiv w:val="1"/>
      <w:marLeft w:val="0"/>
      <w:marRight w:val="0"/>
      <w:marTop w:val="0"/>
      <w:marBottom w:val="0"/>
      <w:divBdr>
        <w:top w:val="none" w:sz="0" w:space="0" w:color="auto"/>
        <w:left w:val="none" w:sz="0" w:space="0" w:color="auto"/>
        <w:bottom w:val="none" w:sz="0" w:space="0" w:color="auto"/>
        <w:right w:val="none" w:sz="0" w:space="0" w:color="auto"/>
      </w:divBdr>
    </w:div>
    <w:div w:id="752895136">
      <w:bodyDiv w:val="1"/>
      <w:marLeft w:val="0"/>
      <w:marRight w:val="0"/>
      <w:marTop w:val="0"/>
      <w:marBottom w:val="0"/>
      <w:divBdr>
        <w:top w:val="none" w:sz="0" w:space="0" w:color="auto"/>
        <w:left w:val="none" w:sz="0" w:space="0" w:color="auto"/>
        <w:bottom w:val="none" w:sz="0" w:space="0" w:color="auto"/>
        <w:right w:val="none" w:sz="0" w:space="0" w:color="auto"/>
      </w:divBdr>
    </w:div>
    <w:div w:id="852302167">
      <w:bodyDiv w:val="1"/>
      <w:marLeft w:val="0"/>
      <w:marRight w:val="0"/>
      <w:marTop w:val="0"/>
      <w:marBottom w:val="0"/>
      <w:divBdr>
        <w:top w:val="none" w:sz="0" w:space="0" w:color="auto"/>
        <w:left w:val="none" w:sz="0" w:space="0" w:color="auto"/>
        <w:bottom w:val="none" w:sz="0" w:space="0" w:color="auto"/>
        <w:right w:val="none" w:sz="0" w:space="0" w:color="auto"/>
      </w:divBdr>
    </w:div>
    <w:div w:id="922450670">
      <w:bodyDiv w:val="1"/>
      <w:marLeft w:val="0"/>
      <w:marRight w:val="0"/>
      <w:marTop w:val="0"/>
      <w:marBottom w:val="0"/>
      <w:divBdr>
        <w:top w:val="none" w:sz="0" w:space="0" w:color="auto"/>
        <w:left w:val="none" w:sz="0" w:space="0" w:color="auto"/>
        <w:bottom w:val="none" w:sz="0" w:space="0" w:color="auto"/>
        <w:right w:val="none" w:sz="0" w:space="0" w:color="auto"/>
      </w:divBdr>
    </w:div>
    <w:div w:id="927035020">
      <w:bodyDiv w:val="1"/>
      <w:marLeft w:val="0"/>
      <w:marRight w:val="0"/>
      <w:marTop w:val="0"/>
      <w:marBottom w:val="0"/>
      <w:divBdr>
        <w:top w:val="none" w:sz="0" w:space="0" w:color="auto"/>
        <w:left w:val="none" w:sz="0" w:space="0" w:color="auto"/>
        <w:bottom w:val="none" w:sz="0" w:space="0" w:color="auto"/>
        <w:right w:val="none" w:sz="0" w:space="0" w:color="auto"/>
      </w:divBdr>
    </w:div>
    <w:div w:id="962734480">
      <w:bodyDiv w:val="1"/>
      <w:marLeft w:val="0"/>
      <w:marRight w:val="0"/>
      <w:marTop w:val="0"/>
      <w:marBottom w:val="0"/>
      <w:divBdr>
        <w:top w:val="none" w:sz="0" w:space="0" w:color="auto"/>
        <w:left w:val="none" w:sz="0" w:space="0" w:color="auto"/>
        <w:bottom w:val="none" w:sz="0" w:space="0" w:color="auto"/>
        <w:right w:val="none" w:sz="0" w:space="0" w:color="auto"/>
      </w:divBdr>
    </w:div>
    <w:div w:id="982344627">
      <w:bodyDiv w:val="1"/>
      <w:marLeft w:val="0"/>
      <w:marRight w:val="0"/>
      <w:marTop w:val="0"/>
      <w:marBottom w:val="0"/>
      <w:divBdr>
        <w:top w:val="none" w:sz="0" w:space="0" w:color="auto"/>
        <w:left w:val="none" w:sz="0" w:space="0" w:color="auto"/>
        <w:bottom w:val="none" w:sz="0" w:space="0" w:color="auto"/>
        <w:right w:val="none" w:sz="0" w:space="0" w:color="auto"/>
      </w:divBdr>
    </w:div>
    <w:div w:id="1009522310">
      <w:bodyDiv w:val="1"/>
      <w:marLeft w:val="0"/>
      <w:marRight w:val="0"/>
      <w:marTop w:val="0"/>
      <w:marBottom w:val="0"/>
      <w:divBdr>
        <w:top w:val="none" w:sz="0" w:space="0" w:color="auto"/>
        <w:left w:val="none" w:sz="0" w:space="0" w:color="auto"/>
        <w:bottom w:val="none" w:sz="0" w:space="0" w:color="auto"/>
        <w:right w:val="none" w:sz="0" w:space="0" w:color="auto"/>
      </w:divBdr>
    </w:div>
    <w:div w:id="1013535472">
      <w:bodyDiv w:val="1"/>
      <w:marLeft w:val="0"/>
      <w:marRight w:val="0"/>
      <w:marTop w:val="0"/>
      <w:marBottom w:val="0"/>
      <w:divBdr>
        <w:top w:val="none" w:sz="0" w:space="0" w:color="auto"/>
        <w:left w:val="none" w:sz="0" w:space="0" w:color="auto"/>
        <w:bottom w:val="none" w:sz="0" w:space="0" w:color="auto"/>
        <w:right w:val="none" w:sz="0" w:space="0" w:color="auto"/>
      </w:divBdr>
    </w:div>
    <w:div w:id="1030569159">
      <w:bodyDiv w:val="1"/>
      <w:marLeft w:val="0"/>
      <w:marRight w:val="0"/>
      <w:marTop w:val="0"/>
      <w:marBottom w:val="0"/>
      <w:divBdr>
        <w:top w:val="none" w:sz="0" w:space="0" w:color="auto"/>
        <w:left w:val="none" w:sz="0" w:space="0" w:color="auto"/>
        <w:bottom w:val="none" w:sz="0" w:space="0" w:color="auto"/>
        <w:right w:val="none" w:sz="0" w:space="0" w:color="auto"/>
      </w:divBdr>
    </w:div>
    <w:div w:id="1048072530">
      <w:bodyDiv w:val="1"/>
      <w:marLeft w:val="0"/>
      <w:marRight w:val="0"/>
      <w:marTop w:val="0"/>
      <w:marBottom w:val="0"/>
      <w:divBdr>
        <w:top w:val="none" w:sz="0" w:space="0" w:color="auto"/>
        <w:left w:val="none" w:sz="0" w:space="0" w:color="auto"/>
        <w:bottom w:val="none" w:sz="0" w:space="0" w:color="auto"/>
        <w:right w:val="none" w:sz="0" w:space="0" w:color="auto"/>
      </w:divBdr>
    </w:div>
    <w:div w:id="1053967919">
      <w:bodyDiv w:val="1"/>
      <w:marLeft w:val="0"/>
      <w:marRight w:val="0"/>
      <w:marTop w:val="0"/>
      <w:marBottom w:val="0"/>
      <w:divBdr>
        <w:top w:val="none" w:sz="0" w:space="0" w:color="auto"/>
        <w:left w:val="none" w:sz="0" w:space="0" w:color="auto"/>
        <w:bottom w:val="none" w:sz="0" w:space="0" w:color="auto"/>
        <w:right w:val="none" w:sz="0" w:space="0" w:color="auto"/>
      </w:divBdr>
    </w:div>
    <w:div w:id="1102142162">
      <w:bodyDiv w:val="1"/>
      <w:marLeft w:val="0"/>
      <w:marRight w:val="0"/>
      <w:marTop w:val="0"/>
      <w:marBottom w:val="0"/>
      <w:divBdr>
        <w:top w:val="none" w:sz="0" w:space="0" w:color="auto"/>
        <w:left w:val="none" w:sz="0" w:space="0" w:color="auto"/>
        <w:bottom w:val="none" w:sz="0" w:space="0" w:color="auto"/>
        <w:right w:val="none" w:sz="0" w:space="0" w:color="auto"/>
      </w:divBdr>
    </w:div>
    <w:div w:id="1130249604">
      <w:bodyDiv w:val="1"/>
      <w:marLeft w:val="0"/>
      <w:marRight w:val="0"/>
      <w:marTop w:val="0"/>
      <w:marBottom w:val="0"/>
      <w:divBdr>
        <w:top w:val="none" w:sz="0" w:space="0" w:color="auto"/>
        <w:left w:val="none" w:sz="0" w:space="0" w:color="auto"/>
        <w:bottom w:val="none" w:sz="0" w:space="0" w:color="auto"/>
        <w:right w:val="none" w:sz="0" w:space="0" w:color="auto"/>
      </w:divBdr>
    </w:div>
    <w:div w:id="1137182305">
      <w:bodyDiv w:val="1"/>
      <w:marLeft w:val="0"/>
      <w:marRight w:val="0"/>
      <w:marTop w:val="0"/>
      <w:marBottom w:val="0"/>
      <w:divBdr>
        <w:top w:val="none" w:sz="0" w:space="0" w:color="auto"/>
        <w:left w:val="none" w:sz="0" w:space="0" w:color="auto"/>
        <w:bottom w:val="none" w:sz="0" w:space="0" w:color="auto"/>
        <w:right w:val="none" w:sz="0" w:space="0" w:color="auto"/>
      </w:divBdr>
    </w:div>
    <w:div w:id="1144659635">
      <w:bodyDiv w:val="1"/>
      <w:marLeft w:val="0"/>
      <w:marRight w:val="0"/>
      <w:marTop w:val="0"/>
      <w:marBottom w:val="0"/>
      <w:divBdr>
        <w:top w:val="none" w:sz="0" w:space="0" w:color="auto"/>
        <w:left w:val="none" w:sz="0" w:space="0" w:color="auto"/>
        <w:bottom w:val="none" w:sz="0" w:space="0" w:color="auto"/>
        <w:right w:val="none" w:sz="0" w:space="0" w:color="auto"/>
      </w:divBdr>
    </w:div>
    <w:div w:id="1182088524">
      <w:bodyDiv w:val="1"/>
      <w:marLeft w:val="0"/>
      <w:marRight w:val="0"/>
      <w:marTop w:val="0"/>
      <w:marBottom w:val="0"/>
      <w:divBdr>
        <w:top w:val="none" w:sz="0" w:space="0" w:color="auto"/>
        <w:left w:val="none" w:sz="0" w:space="0" w:color="auto"/>
        <w:bottom w:val="none" w:sz="0" w:space="0" w:color="auto"/>
        <w:right w:val="none" w:sz="0" w:space="0" w:color="auto"/>
      </w:divBdr>
    </w:div>
    <w:div w:id="1212574772">
      <w:bodyDiv w:val="1"/>
      <w:marLeft w:val="0"/>
      <w:marRight w:val="0"/>
      <w:marTop w:val="0"/>
      <w:marBottom w:val="0"/>
      <w:divBdr>
        <w:top w:val="none" w:sz="0" w:space="0" w:color="auto"/>
        <w:left w:val="none" w:sz="0" w:space="0" w:color="auto"/>
        <w:bottom w:val="none" w:sz="0" w:space="0" w:color="auto"/>
        <w:right w:val="none" w:sz="0" w:space="0" w:color="auto"/>
      </w:divBdr>
    </w:div>
    <w:div w:id="1260872627">
      <w:bodyDiv w:val="1"/>
      <w:marLeft w:val="0"/>
      <w:marRight w:val="0"/>
      <w:marTop w:val="0"/>
      <w:marBottom w:val="0"/>
      <w:divBdr>
        <w:top w:val="none" w:sz="0" w:space="0" w:color="auto"/>
        <w:left w:val="none" w:sz="0" w:space="0" w:color="auto"/>
        <w:bottom w:val="none" w:sz="0" w:space="0" w:color="auto"/>
        <w:right w:val="none" w:sz="0" w:space="0" w:color="auto"/>
      </w:divBdr>
    </w:div>
    <w:div w:id="1303196034">
      <w:bodyDiv w:val="1"/>
      <w:marLeft w:val="0"/>
      <w:marRight w:val="0"/>
      <w:marTop w:val="0"/>
      <w:marBottom w:val="0"/>
      <w:divBdr>
        <w:top w:val="none" w:sz="0" w:space="0" w:color="auto"/>
        <w:left w:val="none" w:sz="0" w:space="0" w:color="auto"/>
        <w:bottom w:val="none" w:sz="0" w:space="0" w:color="auto"/>
        <w:right w:val="none" w:sz="0" w:space="0" w:color="auto"/>
      </w:divBdr>
    </w:div>
    <w:div w:id="1341009808">
      <w:bodyDiv w:val="1"/>
      <w:marLeft w:val="0"/>
      <w:marRight w:val="0"/>
      <w:marTop w:val="0"/>
      <w:marBottom w:val="0"/>
      <w:divBdr>
        <w:top w:val="none" w:sz="0" w:space="0" w:color="auto"/>
        <w:left w:val="none" w:sz="0" w:space="0" w:color="auto"/>
        <w:bottom w:val="none" w:sz="0" w:space="0" w:color="auto"/>
        <w:right w:val="none" w:sz="0" w:space="0" w:color="auto"/>
      </w:divBdr>
    </w:div>
    <w:div w:id="1413041534">
      <w:bodyDiv w:val="1"/>
      <w:marLeft w:val="0"/>
      <w:marRight w:val="0"/>
      <w:marTop w:val="0"/>
      <w:marBottom w:val="0"/>
      <w:divBdr>
        <w:top w:val="none" w:sz="0" w:space="0" w:color="auto"/>
        <w:left w:val="none" w:sz="0" w:space="0" w:color="auto"/>
        <w:bottom w:val="none" w:sz="0" w:space="0" w:color="auto"/>
        <w:right w:val="none" w:sz="0" w:space="0" w:color="auto"/>
      </w:divBdr>
    </w:div>
    <w:div w:id="1425414247">
      <w:bodyDiv w:val="1"/>
      <w:marLeft w:val="0"/>
      <w:marRight w:val="0"/>
      <w:marTop w:val="0"/>
      <w:marBottom w:val="0"/>
      <w:divBdr>
        <w:top w:val="none" w:sz="0" w:space="0" w:color="auto"/>
        <w:left w:val="none" w:sz="0" w:space="0" w:color="auto"/>
        <w:bottom w:val="none" w:sz="0" w:space="0" w:color="auto"/>
        <w:right w:val="none" w:sz="0" w:space="0" w:color="auto"/>
      </w:divBdr>
    </w:div>
    <w:div w:id="1430152715">
      <w:bodyDiv w:val="1"/>
      <w:marLeft w:val="0"/>
      <w:marRight w:val="0"/>
      <w:marTop w:val="0"/>
      <w:marBottom w:val="0"/>
      <w:divBdr>
        <w:top w:val="none" w:sz="0" w:space="0" w:color="auto"/>
        <w:left w:val="none" w:sz="0" w:space="0" w:color="auto"/>
        <w:bottom w:val="none" w:sz="0" w:space="0" w:color="auto"/>
        <w:right w:val="none" w:sz="0" w:space="0" w:color="auto"/>
      </w:divBdr>
    </w:div>
    <w:div w:id="1472941166">
      <w:bodyDiv w:val="1"/>
      <w:marLeft w:val="0"/>
      <w:marRight w:val="0"/>
      <w:marTop w:val="0"/>
      <w:marBottom w:val="0"/>
      <w:divBdr>
        <w:top w:val="none" w:sz="0" w:space="0" w:color="auto"/>
        <w:left w:val="none" w:sz="0" w:space="0" w:color="auto"/>
        <w:bottom w:val="none" w:sz="0" w:space="0" w:color="auto"/>
        <w:right w:val="none" w:sz="0" w:space="0" w:color="auto"/>
      </w:divBdr>
    </w:div>
    <w:div w:id="1587684575">
      <w:bodyDiv w:val="1"/>
      <w:marLeft w:val="0"/>
      <w:marRight w:val="0"/>
      <w:marTop w:val="0"/>
      <w:marBottom w:val="0"/>
      <w:divBdr>
        <w:top w:val="none" w:sz="0" w:space="0" w:color="auto"/>
        <w:left w:val="none" w:sz="0" w:space="0" w:color="auto"/>
        <w:bottom w:val="none" w:sz="0" w:space="0" w:color="auto"/>
        <w:right w:val="none" w:sz="0" w:space="0" w:color="auto"/>
      </w:divBdr>
    </w:div>
    <w:div w:id="1600484546">
      <w:bodyDiv w:val="1"/>
      <w:marLeft w:val="0"/>
      <w:marRight w:val="0"/>
      <w:marTop w:val="0"/>
      <w:marBottom w:val="0"/>
      <w:divBdr>
        <w:top w:val="none" w:sz="0" w:space="0" w:color="auto"/>
        <w:left w:val="none" w:sz="0" w:space="0" w:color="auto"/>
        <w:bottom w:val="none" w:sz="0" w:space="0" w:color="auto"/>
        <w:right w:val="none" w:sz="0" w:space="0" w:color="auto"/>
      </w:divBdr>
    </w:div>
    <w:div w:id="1697851715">
      <w:bodyDiv w:val="1"/>
      <w:marLeft w:val="0"/>
      <w:marRight w:val="0"/>
      <w:marTop w:val="0"/>
      <w:marBottom w:val="0"/>
      <w:divBdr>
        <w:top w:val="none" w:sz="0" w:space="0" w:color="auto"/>
        <w:left w:val="none" w:sz="0" w:space="0" w:color="auto"/>
        <w:bottom w:val="none" w:sz="0" w:space="0" w:color="auto"/>
        <w:right w:val="none" w:sz="0" w:space="0" w:color="auto"/>
      </w:divBdr>
    </w:div>
    <w:div w:id="1732074637">
      <w:bodyDiv w:val="1"/>
      <w:marLeft w:val="0"/>
      <w:marRight w:val="0"/>
      <w:marTop w:val="0"/>
      <w:marBottom w:val="0"/>
      <w:divBdr>
        <w:top w:val="none" w:sz="0" w:space="0" w:color="auto"/>
        <w:left w:val="none" w:sz="0" w:space="0" w:color="auto"/>
        <w:bottom w:val="none" w:sz="0" w:space="0" w:color="auto"/>
        <w:right w:val="none" w:sz="0" w:space="0" w:color="auto"/>
      </w:divBdr>
    </w:div>
    <w:div w:id="1755974679">
      <w:bodyDiv w:val="1"/>
      <w:marLeft w:val="0"/>
      <w:marRight w:val="0"/>
      <w:marTop w:val="0"/>
      <w:marBottom w:val="0"/>
      <w:divBdr>
        <w:top w:val="none" w:sz="0" w:space="0" w:color="auto"/>
        <w:left w:val="none" w:sz="0" w:space="0" w:color="auto"/>
        <w:bottom w:val="none" w:sz="0" w:space="0" w:color="auto"/>
        <w:right w:val="none" w:sz="0" w:space="0" w:color="auto"/>
      </w:divBdr>
    </w:div>
    <w:div w:id="1824812760">
      <w:bodyDiv w:val="1"/>
      <w:marLeft w:val="0"/>
      <w:marRight w:val="0"/>
      <w:marTop w:val="0"/>
      <w:marBottom w:val="0"/>
      <w:divBdr>
        <w:top w:val="none" w:sz="0" w:space="0" w:color="auto"/>
        <w:left w:val="none" w:sz="0" w:space="0" w:color="auto"/>
        <w:bottom w:val="none" w:sz="0" w:space="0" w:color="auto"/>
        <w:right w:val="none" w:sz="0" w:space="0" w:color="auto"/>
      </w:divBdr>
    </w:div>
    <w:div w:id="1829710928">
      <w:bodyDiv w:val="1"/>
      <w:marLeft w:val="0"/>
      <w:marRight w:val="0"/>
      <w:marTop w:val="0"/>
      <w:marBottom w:val="0"/>
      <w:divBdr>
        <w:top w:val="none" w:sz="0" w:space="0" w:color="auto"/>
        <w:left w:val="none" w:sz="0" w:space="0" w:color="auto"/>
        <w:bottom w:val="none" w:sz="0" w:space="0" w:color="auto"/>
        <w:right w:val="none" w:sz="0" w:space="0" w:color="auto"/>
      </w:divBdr>
    </w:div>
    <w:div w:id="1892688956">
      <w:bodyDiv w:val="1"/>
      <w:marLeft w:val="0"/>
      <w:marRight w:val="0"/>
      <w:marTop w:val="0"/>
      <w:marBottom w:val="0"/>
      <w:divBdr>
        <w:top w:val="none" w:sz="0" w:space="0" w:color="auto"/>
        <w:left w:val="none" w:sz="0" w:space="0" w:color="auto"/>
        <w:bottom w:val="none" w:sz="0" w:space="0" w:color="auto"/>
        <w:right w:val="none" w:sz="0" w:space="0" w:color="auto"/>
      </w:divBdr>
    </w:div>
    <w:div w:id="1902398233">
      <w:bodyDiv w:val="1"/>
      <w:marLeft w:val="0"/>
      <w:marRight w:val="0"/>
      <w:marTop w:val="0"/>
      <w:marBottom w:val="0"/>
      <w:divBdr>
        <w:top w:val="none" w:sz="0" w:space="0" w:color="auto"/>
        <w:left w:val="none" w:sz="0" w:space="0" w:color="auto"/>
        <w:bottom w:val="none" w:sz="0" w:space="0" w:color="auto"/>
        <w:right w:val="none" w:sz="0" w:space="0" w:color="auto"/>
      </w:divBdr>
    </w:div>
    <w:div w:id="1936671396">
      <w:bodyDiv w:val="1"/>
      <w:marLeft w:val="0"/>
      <w:marRight w:val="0"/>
      <w:marTop w:val="0"/>
      <w:marBottom w:val="0"/>
      <w:divBdr>
        <w:top w:val="none" w:sz="0" w:space="0" w:color="auto"/>
        <w:left w:val="none" w:sz="0" w:space="0" w:color="auto"/>
        <w:bottom w:val="none" w:sz="0" w:space="0" w:color="auto"/>
        <w:right w:val="none" w:sz="0" w:space="0" w:color="auto"/>
      </w:divBdr>
    </w:div>
    <w:div w:id="1943612664">
      <w:bodyDiv w:val="1"/>
      <w:marLeft w:val="0"/>
      <w:marRight w:val="0"/>
      <w:marTop w:val="0"/>
      <w:marBottom w:val="0"/>
      <w:divBdr>
        <w:top w:val="none" w:sz="0" w:space="0" w:color="auto"/>
        <w:left w:val="none" w:sz="0" w:space="0" w:color="auto"/>
        <w:bottom w:val="none" w:sz="0" w:space="0" w:color="auto"/>
        <w:right w:val="none" w:sz="0" w:space="0" w:color="auto"/>
      </w:divBdr>
    </w:div>
    <w:div w:id="1979531467">
      <w:bodyDiv w:val="1"/>
      <w:marLeft w:val="0"/>
      <w:marRight w:val="0"/>
      <w:marTop w:val="0"/>
      <w:marBottom w:val="0"/>
      <w:divBdr>
        <w:top w:val="none" w:sz="0" w:space="0" w:color="auto"/>
        <w:left w:val="none" w:sz="0" w:space="0" w:color="auto"/>
        <w:bottom w:val="none" w:sz="0" w:space="0" w:color="auto"/>
        <w:right w:val="none" w:sz="0" w:space="0" w:color="auto"/>
      </w:divBdr>
    </w:div>
    <w:div w:id="2038040149">
      <w:bodyDiv w:val="1"/>
      <w:marLeft w:val="0"/>
      <w:marRight w:val="0"/>
      <w:marTop w:val="0"/>
      <w:marBottom w:val="0"/>
      <w:divBdr>
        <w:top w:val="none" w:sz="0" w:space="0" w:color="auto"/>
        <w:left w:val="none" w:sz="0" w:space="0" w:color="auto"/>
        <w:bottom w:val="none" w:sz="0" w:space="0" w:color="auto"/>
        <w:right w:val="none" w:sz="0" w:space="0" w:color="auto"/>
      </w:divBdr>
    </w:div>
    <w:div w:id="2056587118">
      <w:bodyDiv w:val="1"/>
      <w:marLeft w:val="0"/>
      <w:marRight w:val="0"/>
      <w:marTop w:val="0"/>
      <w:marBottom w:val="0"/>
      <w:divBdr>
        <w:top w:val="none" w:sz="0" w:space="0" w:color="auto"/>
        <w:left w:val="none" w:sz="0" w:space="0" w:color="auto"/>
        <w:bottom w:val="none" w:sz="0" w:space="0" w:color="auto"/>
        <w:right w:val="none" w:sz="0" w:space="0" w:color="auto"/>
      </w:divBdr>
    </w:div>
    <w:div w:id="2063751285">
      <w:bodyDiv w:val="1"/>
      <w:marLeft w:val="0"/>
      <w:marRight w:val="0"/>
      <w:marTop w:val="0"/>
      <w:marBottom w:val="0"/>
      <w:divBdr>
        <w:top w:val="none" w:sz="0" w:space="0" w:color="auto"/>
        <w:left w:val="none" w:sz="0" w:space="0" w:color="auto"/>
        <w:bottom w:val="none" w:sz="0" w:space="0" w:color="auto"/>
        <w:right w:val="none" w:sz="0" w:space="0" w:color="auto"/>
      </w:divBdr>
    </w:div>
    <w:div w:id="212187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38E98-4D9F-48EC-A330-8D05DA2A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23</Pages>
  <Words>6907</Words>
  <Characters>37989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José Antonio</cp:lastModifiedBy>
  <cp:revision>71</cp:revision>
  <cp:lastPrinted>2024-02-19T17:59:00Z</cp:lastPrinted>
  <dcterms:created xsi:type="dcterms:W3CDTF">2023-01-09T09:30:00Z</dcterms:created>
  <dcterms:modified xsi:type="dcterms:W3CDTF">2024-02-19T18:32:00Z</dcterms:modified>
</cp:coreProperties>
</file>