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FCC" w:rsidRDefault="00295FCC">
      <w:pPr>
        <w:spacing w:after="0" w:line="259" w:lineRule="auto"/>
        <w:ind w:left="360" w:right="0" w:firstLine="0"/>
        <w:jc w:val="left"/>
      </w:pPr>
    </w:p>
    <w:p w:rsidR="00B66EBD" w:rsidRDefault="00B66EBD" w:rsidP="00B561F9">
      <w:pPr>
        <w:spacing w:after="15" w:line="259" w:lineRule="auto"/>
        <w:ind w:left="360" w:right="0" w:firstLine="0"/>
        <w:jc w:val="center"/>
        <w:rPr>
          <w:rFonts w:ascii="Arial" w:eastAsia="Times New Roman" w:hAnsi="Arial" w:cs="Arial"/>
          <w:b/>
          <w:color w:val="auto"/>
          <w:sz w:val="28"/>
          <w:szCs w:val="28"/>
        </w:rPr>
      </w:pPr>
    </w:p>
    <w:p w:rsidR="00B66EBD" w:rsidRDefault="00B66EBD" w:rsidP="00B561F9">
      <w:pPr>
        <w:spacing w:after="15" w:line="259" w:lineRule="auto"/>
        <w:ind w:left="360" w:right="0" w:firstLine="0"/>
        <w:jc w:val="center"/>
        <w:rPr>
          <w:rFonts w:ascii="Arial" w:eastAsia="Times New Roman" w:hAnsi="Arial" w:cs="Arial"/>
          <w:b/>
          <w:color w:val="auto"/>
          <w:sz w:val="28"/>
          <w:szCs w:val="28"/>
        </w:rPr>
      </w:pPr>
    </w:p>
    <w:tbl>
      <w:tblPr>
        <w:tblStyle w:val="Tablaconcuadrcula"/>
        <w:tblW w:w="0" w:type="auto"/>
        <w:tblInd w:w="360" w:type="dxa"/>
        <w:tblLook w:val="04A0" w:firstRow="1" w:lastRow="0" w:firstColumn="1" w:lastColumn="0" w:noHBand="0" w:noVBand="1"/>
      </w:tblPr>
      <w:tblGrid>
        <w:gridCol w:w="8901"/>
      </w:tblGrid>
      <w:tr w:rsidR="00B66EBD" w:rsidTr="00B66EBD">
        <w:tc>
          <w:tcPr>
            <w:tcW w:w="9179" w:type="dxa"/>
          </w:tcPr>
          <w:p w:rsidR="00B66EBD" w:rsidRDefault="00B66EBD" w:rsidP="00B561F9">
            <w:pPr>
              <w:spacing w:after="15" w:line="259" w:lineRule="auto"/>
              <w:ind w:left="0" w:right="0" w:firstLine="0"/>
              <w:jc w:val="center"/>
              <w:rPr>
                <w:rFonts w:ascii="Arial" w:eastAsia="Times New Roman" w:hAnsi="Arial" w:cs="Arial"/>
                <w:b/>
                <w:color w:val="auto"/>
                <w:sz w:val="28"/>
                <w:szCs w:val="28"/>
              </w:rPr>
            </w:pPr>
          </w:p>
          <w:p w:rsidR="00B66EBD" w:rsidRPr="00B561F9" w:rsidRDefault="00B66EBD" w:rsidP="00B66EBD">
            <w:pPr>
              <w:spacing w:after="15" w:line="259" w:lineRule="auto"/>
              <w:ind w:left="360" w:right="0" w:firstLine="0"/>
              <w:jc w:val="center"/>
              <w:rPr>
                <w:rFonts w:ascii="Arial" w:eastAsia="Times New Roman" w:hAnsi="Arial" w:cs="Arial"/>
                <w:b/>
                <w:color w:val="auto"/>
                <w:sz w:val="28"/>
                <w:szCs w:val="28"/>
              </w:rPr>
            </w:pPr>
            <w:r w:rsidRPr="00B561F9">
              <w:rPr>
                <w:rFonts w:ascii="Arial" w:eastAsia="Times New Roman" w:hAnsi="Arial" w:cs="Arial"/>
                <w:b/>
                <w:color w:val="auto"/>
                <w:sz w:val="28"/>
                <w:szCs w:val="28"/>
              </w:rPr>
              <w:t>REUNIÓN DEL SERVICIO DE ASISTENCIA A MUNICIPIOS CON LOS</w:t>
            </w:r>
            <w:r>
              <w:rPr>
                <w:rFonts w:ascii="Arial" w:eastAsia="Times New Roman" w:hAnsi="Arial" w:cs="Arial"/>
                <w:b/>
                <w:color w:val="auto"/>
                <w:sz w:val="28"/>
                <w:szCs w:val="28"/>
              </w:rPr>
              <w:t xml:space="preserve"> </w:t>
            </w:r>
            <w:r w:rsidR="00507829">
              <w:rPr>
                <w:rFonts w:ascii="Arial" w:eastAsia="Times New Roman" w:hAnsi="Arial" w:cs="Arial"/>
                <w:b/>
                <w:color w:val="auto"/>
                <w:sz w:val="28"/>
                <w:szCs w:val="28"/>
              </w:rPr>
              <w:t>FUNCIONARIOS QUE EJERCEN FUNCIONES RESERVADAS EN</w:t>
            </w:r>
            <w:r w:rsidRPr="00B561F9">
              <w:rPr>
                <w:rFonts w:ascii="Arial" w:eastAsia="Times New Roman" w:hAnsi="Arial" w:cs="Arial"/>
                <w:b/>
                <w:color w:val="auto"/>
                <w:sz w:val="28"/>
                <w:szCs w:val="28"/>
              </w:rPr>
              <w:t xml:space="preserve"> LOS MUNICIPIOS DE LA PROVINCIA DE PALENCIA</w:t>
            </w:r>
          </w:p>
          <w:p w:rsidR="00B66EBD" w:rsidRDefault="00B66EBD" w:rsidP="00B66EBD">
            <w:pPr>
              <w:spacing w:after="15" w:line="259" w:lineRule="auto"/>
              <w:ind w:left="360" w:right="0" w:firstLine="0"/>
              <w:jc w:val="center"/>
              <w:rPr>
                <w:rFonts w:ascii="Arial" w:eastAsia="Times New Roman" w:hAnsi="Arial" w:cs="Arial"/>
                <w:b/>
                <w:color w:val="auto"/>
                <w:sz w:val="28"/>
                <w:szCs w:val="28"/>
              </w:rPr>
            </w:pPr>
          </w:p>
          <w:p w:rsidR="00B66EBD" w:rsidRPr="00B561F9" w:rsidRDefault="00B66EBD" w:rsidP="00B66EBD">
            <w:pPr>
              <w:spacing w:after="15" w:line="259" w:lineRule="auto"/>
              <w:ind w:left="360" w:right="0" w:firstLine="0"/>
              <w:jc w:val="center"/>
              <w:rPr>
                <w:rFonts w:ascii="Arial" w:hAnsi="Arial" w:cs="Arial"/>
                <w:b/>
                <w:color w:val="auto"/>
                <w:sz w:val="28"/>
                <w:szCs w:val="28"/>
              </w:rPr>
            </w:pPr>
            <w:r w:rsidRPr="00B561F9">
              <w:rPr>
                <w:rFonts w:ascii="Arial" w:eastAsia="Times New Roman" w:hAnsi="Arial" w:cs="Arial"/>
                <w:b/>
                <w:color w:val="auto"/>
                <w:sz w:val="28"/>
                <w:szCs w:val="28"/>
              </w:rPr>
              <w:t>8 DE FEBRERO DE 2024</w:t>
            </w:r>
          </w:p>
          <w:p w:rsidR="00B66EBD" w:rsidRDefault="00B66EBD" w:rsidP="00B561F9">
            <w:pPr>
              <w:spacing w:after="15" w:line="259" w:lineRule="auto"/>
              <w:ind w:left="0" w:right="0" w:firstLine="0"/>
              <w:jc w:val="center"/>
              <w:rPr>
                <w:rFonts w:ascii="Arial" w:eastAsia="Times New Roman" w:hAnsi="Arial" w:cs="Arial"/>
                <w:b/>
                <w:color w:val="auto"/>
                <w:sz w:val="28"/>
                <w:szCs w:val="28"/>
              </w:rPr>
            </w:pPr>
          </w:p>
        </w:tc>
      </w:tr>
    </w:tbl>
    <w:p w:rsidR="00B561F9" w:rsidRDefault="00B561F9" w:rsidP="00B561F9">
      <w:pPr>
        <w:spacing w:after="15" w:line="259" w:lineRule="auto"/>
        <w:ind w:left="360" w:right="0" w:firstLine="0"/>
        <w:jc w:val="center"/>
        <w:rPr>
          <w:rFonts w:ascii="Arial" w:eastAsia="Times New Roman" w:hAnsi="Arial" w:cs="Arial"/>
          <w:b/>
          <w:color w:val="auto"/>
          <w:sz w:val="28"/>
          <w:szCs w:val="28"/>
        </w:rPr>
      </w:pPr>
    </w:p>
    <w:p w:rsidR="000E4AF4" w:rsidRPr="00B561F9" w:rsidRDefault="000E4AF4" w:rsidP="000E4AF4">
      <w:pPr>
        <w:spacing w:after="0" w:line="259" w:lineRule="auto"/>
        <w:ind w:left="360" w:right="0" w:firstLine="0"/>
        <w:jc w:val="left"/>
        <w:rPr>
          <w:rFonts w:ascii="Arial" w:hAnsi="Arial" w:cs="Arial"/>
          <w:color w:val="auto"/>
          <w:sz w:val="28"/>
          <w:szCs w:val="28"/>
        </w:rPr>
      </w:pPr>
    </w:p>
    <w:p w:rsidR="004F1459" w:rsidRDefault="004F1459">
      <w:pPr>
        <w:spacing w:after="250" w:line="270" w:lineRule="auto"/>
        <w:ind w:left="446" w:right="1"/>
        <w:jc w:val="center"/>
        <w:rPr>
          <w:rFonts w:ascii="Arial" w:hAnsi="Arial" w:cs="Arial"/>
          <w:b/>
          <w:color w:val="auto"/>
          <w:sz w:val="28"/>
          <w:szCs w:val="28"/>
        </w:rPr>
      </w:pPr>
    </w:p>
    <w:p w:rsidR="00295FCC" w:rsidRPr="00B561F9" w:rsidRDefault="009D6E73">
      <w:pPr>
        <w:spacing w:after="250" w:line="270" w:lineRule="auto"/>
        <w:ind w:left="446" w:right="1"/>
        <w:jc w:val="center"/>
        <w:rPr>
          <w:rFonts w:ascii="Arial" w:hAnsi="Arial" w:cs="Arial"/>
          <w:color w:val="auto"/>
          <w:sz w:val="28"/>
          <w:szCs w:val="28"/>
        </w:rPr>
      </w:pPr>
      <w:r w:rsidRPr="00B561F9">
        <w:rPr>
          <w:rFonts w:ascii="Arial" w:hAnsi="Arial" w:cs="Arial"/>
          <w:b/>
          <w:color w:val="auto"/>
          <w:sz w:val="28"/>
          <w:szCs w:val="28"/>
        </w:rPr>
        <w:t xml:space="preserve">SECCIÓN ECONÓMICO-FINANCIERA </w:t>
      </w:r>
    </w:p>
    <w:p w:rsidR="000E4AF4" w:rsidRDefault="009D6E73" w:rsidP="00CC30AE">
      <w:pPr>
        <w:spacing w:after="197" w:line="259" w:lineRule="auto"/>
        <w:ind w:left="643" w:right="0" w:firstLine="0"/>
        <w:jc w:val="left"/>
        <w:rPr>
          <w:b/>
          <w:color w:val="0000FF"/>
        </w:rPr>
      </w:pPr>
      <w:r>
        <w:rPr>
          <w:b/>
          <w:sz w:val="13"/>
        </w:rPr>
        <w:t xml:space="preserve"> </w:t>
      </w:r>
      <w:r w:rsidR="00CC30AE">
        <w:rPr>
          <w:b/>
          <w:color w:val="0000FF"/>
        </w:rPr>
        <w:t xml:space="preserve"> </w:t>
      </w:r>
    </w:p>
    <w:p w:rsidR="00B561F9" w:rsidRPr="004F1459" w:rsidRDefault="00BB0C13" w:rsidP="00D577C4">
      <w:pPr>
        <w:spacing w:after="360" w:line="259" w:lineRule="auto"/>
        <w:ind w:left="0" w:right="0" w:firstLine="0"/>
        <w:jc w:val="center"/>
        <w:rPr>
          <w:rFonts w:ascii="Arial" w:hAnsi="Arial" w:cs="Arial"/>
          <w:b/>
          <w:color w:val="auto"/>
          <w:sz w:val="28"/>
          <w:szCs w:val="28"/>
          <w:u w:val="single"/>
        </w:rPr>
      </w:pPr>
      <w:r w:rsidRPr="004F1459">
        <w:rPr>
          <w:rFonts w:ascii="Arial" w:hAnsi="Arial" w:cs="Arial"/>
          <w:b/>
          <w:color w:val="auto"/>
          <w:sz w:val="28"/>
          <w:szCs w:val="28"/>
          <w:u w:val="single"/>
        </w:rPr>
        <w:t>BLOQUES</w:t>
      </w:r>
      <w:r w:rsidR="004F1459" w:rsidRPr="004F1459">
        <w:rPr>
          <w:rFonts w:ascii="Arial" w:hAnsi="Arial" w:cs="Arial"/>
          <w:b/>
          <w:color w:val="auto"/>
          <w:sz w:val="28"/>
          <w:szCs w:val="28"/>
          <w:u w:val="single"/>
        </w:rPr>
        <w:t xml:space="preserve"> TEMÁTICOS</w:t>
      </w:r>
    </w:p>
    <w:p w:rsidR="003C6AD7" w:rsidRPr="004F1459" w:rsidRDefault="003C6AD7" w:rsidP="00D577C4">
      <w:pPr>
        <w:pStyle w:val="Prrafodelista"/>
        <w:numPr>
          <w:ilvl w:val="0"/>
          <w:numId w:val="27"/>
        </w:numPr>
        <w:spacing w:before="120" w:after="360" w:line="259" w:lineRule="auto"/>
        <w:ind w:left="1003" w:right="284" w:hanging="357"/>
        <w:contextualSpacing w:val="0"/>
        <w:rPr>
          <w:rFonts w:ascii="Arial" w:hAnsi="Arial" w:cs="Arial"/>
          <w:b/>
          <w:sz w:val="28"/>
          <w:szCs w:val="28"/>
        </w:rPr>
      </w:pPr>
      <w:r w:rsidRPr="004F1459">
        <w:rPr>
          <w:rFonts w:ascii="Arial" w:hAnsi="Arial" w:cs="Arial"/>
          <w:b/>
          <w:sz w:val="28"/>
          <w:szCs w:val="28"/>
        </w:rPr>
        <w:t>P</w:t>
      </w:r>
      <w:r w:rsidR="00297D97" w:rsidRPr="004F1459">
        <w:rPr>
          <w:rFonts w:ascii="Arial" w:hAnsi="Arial" w:cs="Arial"/>
          <w:b/>
          <w:sz w:val="28"/>
          <w:szCs w:val="28"/>
        </w:rPr>
        <w:t>RESU</w:t>
      </w:r>
      <w:r w:rsidR="00042964">
        <w:rPr>
          <w:rFonts w:ascii="Arial" w:hAnsi="Arial" w:cs="Arial"/>
          <w:b/>
          <w:sz w:val="28"/>
          <w:szCs w:val="28"/>
        </w:rPr>
        <w:t>P</w:t>
      </w:r>
      <w:r w:rsidR="00297D97" w:rsidRPr="004F1459">
        <w:rPr>
          <w:rFonts w:ascii="Arial" w:hAnsi="Arial" w:cs="Arial"/>
          <w:b/>
          <w:sz w:val="28"/>
          <w:szCs w:val="28"/>
        </w:rPr>
        <w:t>UESTOS GENERALES DEL ESTADO PARA EL AÑO 2023 PRORROGADOS PARA EL EJERCICIO DE 2024</w:t>
      </w:r>
    </w:p>
    <w:p w:rsidR="003038DE" w:rsidRDefault="003038DE" w:rsidP="00D577C4">
      <w:pPr>
        <w:pStyle w:val="Prrafodelista"/>
        <w:numPr>
          <w:ilvl w:val="0"/>
          <w:numId w:val="27"/>
        </w:numPr>
        <w:spacing w:before="120" w:after="360" w:line="259" w:lineRule="auto"/>
        <w:ind w:left="1003" w:right="284" w:hanging="357"/>
        <w:contextualSpacing w:val="0"/>
        <w:rPr>
          <w:rFonts w:ascii="Arial" w:hAnsi="Arial" w:cs="Arial"/>
          <w:b/>
          <w:sz w:val="28"/>
          <w:szCs w:val="28"/>
        </w:rPr>
      </w:pPr>
      <w:r w:rsidRPr="004F1459">
        <w:rPr>
          <w:rFonts w:ascii="Arial" w:hAnsi="Arial" w:cs="Arial"/>
          <w:b/>
          <w:sz w:val="28"/>
          <w:szCs w:val="28"/>
        </w:rPr>
        <w:t>REACTIVACIÓN DE LAS REGLAS FISCALES</w:t>
      </w:r>
    </w:p>
    <w:p w:rsidR="00D577C4" w:rsidRPr="004F1459" w:rsidRDefault="00D577C4" w:rsidP="00D577C4">
      <w:pPr>
        <w:pStyle w:val="Prrafodelista"/>
        <w:numPr>
          <w:ilvl w:val="0"/>
          <w:numId w:val="27"/>
        </w:numPr>
        <w:spacing w:before="120" w:after="360" w:line="259" w:lineRule="auto"/>
        <w:ind w:left="1003" w:right="284" w:hanging="357"/>
        <w:contextualSpacing w:val="0"/>
        <w:rPr>
          <w:rFonts w:ascii="Arial" w:hAnsi="Arial" w:cs="Arial"/>
          <w:b/>
          <w:sz w:val="28"/>
          <w:szCs w:val="28"/>
        </w:rPr>
      </w:pPr>
      <w:r w:rsidRPr="00D577C4">
        <w:rPr>
          <w:rFonts w:ascii="Arial" w:hAnsi="Arial" w:cs="Arial"/>
          <w:b/>
          <w:sz w:val="28"/>
          <w:szCs w:val="28"/>
        </w:rPr>
        <w:t>RETRIBUCIONES DE LOS EMPLEADOS PÚBLICOS EN LA CONFECCIÓN DEL PRESUPUESTO MUNICIPAL PARA 2024</w:t>
      </w:r>
    </w:p>
    <w:p w:rsidR="004F1459" w:rsidRPr="004F1459" w:rsidRDefault="003038DE" w:rsidP="00D577C4">
      <w:pPr>
        <w:pStyle w:val="Prrafodelista"/>
        <w:numPr>
          <w:ilvl w:val="0"/>
          <w:numId w:val="27"/>
        </w:numPr>
        <w:spacing w:before="120" w:after="360" w:line="259" w:lineRule="auto"/>
        <w:ind w:left="1003" w:right="284" w:hanging="357"/>
        <w:contextualSpacing w:val="0"/>
        <w:rPr>
          <w:rFonts w:ascii="Arial" w:hAnsi="Arial" w:cs="Arial"/>
          <w:b/>
          <w:sz w:val="28"/>
          <w:szCs w:val="28"/>
        </w:rPr>
      </w:pPr>
      <w:r w:rsidRPr="004F1459">
        <w:rPr>
          <w:rFonts w:ascii="Arial" w:hAnsi="Arial" w:cs="Arial"/>
          <w:b/>
          <w:sz w:val="28"/>
          <w:szCs w:val="28"/>
        </w:rPr>
        <w:t>RENDICIÓN DE LA CUENTA GENERAL Y REMISIÓN DE INFORMACIÓN AL CONSEJO DE CUENTAS</w:t>
      </w:r>
    </w:p>
    <w:p w:rsidR="00B561F9" w:rsidRPr="004F1459" w:rsidRDefault="00E65E3F" w:rsidP="00D577C4">
      <w:pPr>
        <w:pStyle w:val="Prrafodelista"/>
        <w:numPr>
          <w:ilvl w:val="0"/>
          <w:numId w:val="27"/>
        </w:numPr>
        <w:spacing w:before="120" w:after="360" w:line="259" w:lineRule="auto"/>
        <w:ind w:left="1003" w:right="284" w:hanging="357"/>
        <w:contextualSpacing w:val="0"/>
        <w:rPr>
          <w:rFonts w:ascii="Arial" w:hAnsi="Arial" w:cs="Arial"/>
          <w:b/>
          <w:sz w:val="28"/>
          <w:szCs w:val="28"/>
        </w:rPr>
      </w:pPr>
      <w:r w:rsidRPr="004F1459">
        <w:rPr>
          <w:rFonts w:ascii="Arial" w:hAnsi="Arial" w:cs="Arial"/>
          <w:b/>
          <w:sz w:val="28"/>
          <w:szCs w:val="28"/>
        </w:rPr>
        <w:t>OBLIGACIONES DE SUMINISTRO DE INFORMACIÓN AL MIN</w:t>
      </w:r>
      <w:r w:rsidR="00B66EBD">
        <w:rPr>
          <w:rFonts w:ascii="Arial" w:hAnsi="Arial" w:cs="Arial"/>
          <w:b/>
          <w:sz w:val="28"/>
          <w:szCs w:val="28"/>
        </w:rPr>
        <w:t>ISTERIO DE HACIENDA Y FUNCIÓN PÚBLICA (MIN</w:t>
      </w:r>
      <w:r w:rsidRPr="004F1459">
        <w:rPr>
          <w:rFonts w:ascii="Arial" w:hAnsi="Arial" w:cs="Arial"/>
          <w:b/>
          <w:sz w:val="28"/>
          <w:szCs w:val="28"/>
        </w:rPr>
        <w:t>HAFP</w:t>
      </w:r>
      <w:r w:rsidR="00B66EBD">
        <w:rPr>
          <w:rFonts w:ascii="Arial" w:hAnsi="Arial" w:cs="Arial"/>
          <w:b/>
          <w:sz w:val="28"/>
          <w:szCs w:val="28"/>
        </w:rPr>
        <w:t>)</w:t>
      </w:r>
    </w:p>
    <w:p w:rsidR="00B561F9" w:rsidRPr="004F1459" w:rsidRDefault="00E65E3F" w:rsidP="004F1459">
      <w:pPr>
        <w:pStyle w:val="Prrafodelista"/>
        <w:numPr>
          <w:ilvl w:val="0"/>
          <w:numId w:val="27"/>
        </w:numPr>
        <w:spacing w:before="120" w:after="0" w:line="259" w:lineRule="auto"/>
        <w:ind w:right="284"/>
        <w:rPr>
          <w:b/>
          <w:color w:val="0000FF"/>
          <w:sz w:val="28"/>
          <w:szCs w:val="28"/>
        </w:rPr>
      </w:pPr>
      <w:r w:rsidRPr="004F1459">
        <w:rPr>
          <w:rFonts w:ascii="Arial" w:hAnsi="Arial" w:cs="Arial"/>
          <w:b/>
          <w:sz w:val="28"/>
          <w:szCs w:val="28"/>
        </w:rPr>
        <w:t>OBLIGACIONES DE SUMINISTRO DE INFORMACIÓN A LA INTERVENCIÓN GENERAL DE LA ADMINISTRACIÓN DEL ESTADO (IGAE)</w:t>
      </w:r>
    </w:p>
    <w:p w:rsidR="00B561F9" w:rsidRDefault="00B561F9" w:rsidP="00CC30AE">
      <w:pPr>
        <w:spacing w:after="197" w:line="259" w:lineRule="auto"/>
        <w:ind w:left="643" w:right="0" w:firstLine="0"/>
        <w:jc w:val="left"/>
        <w:rPr>
          <w:b/>
          <w:color w:val="0000FF"/>
        </w:rPr>
      </w:pP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74"/>
      </w:tblGrid>
      <w:tr w:rsidR="000E4AF4" w:rsidTr="004F1459">
        <w:tc>
          <w:tcPr>
            <w:tcW w:w="9174" w:type="dxa"/>
            <w:shd w:val="clear" w:color="auto" w:fill="D9D9D9" w:themeFill="background1" w:themeFillShade="D9"/>
          </w:tcPr>
          <w:p w:rsidR="000E4AF4" w:rsidRDefault="009537AF" w:rsidP="00E13336">
            <w:pPr>
              <w:spacing w:before="120" w:after="120" w:line="259" w:lineRule="auto"/>
              <w:ind w:left="284" w:right="284" w:firstLine="0"/>
              <w:jc w:val="center"/>
            </w:pPr>
            <w:r>
              <w:rPr>
                <w:rFonts w:ascii="Arial" w:hAnsi="Arial" w:cs="Arial"/>
                <w:b/>
              </w:rPr>
              <w:lastRenderedPageBreak/>
              <w:t xml:space="preserve">BLOQUE 1. </w:t>
            </w:r>
            <w:r w:rsidR="00E13336">
              <w:rPr>
                <w:rFonts w:ascii="Arial" w:hAnsi="Arial" w:cs="Arial"/>
                <w:b/>
              </w:rPr>
              <w:t>PRESUPUESTOS GENERALES DEL ESTADO PARA EL AÑO 2023 PRORROGADOS PARA EL EJERCICIO DE 2024</w:t>
            </w:r>
          </w:p>
        </w:tc>
      </w:tr>
    </w:tbl>
    <w:p w:rsidR="00CC30AE" w:rsidRDefault="00CC30AE" w:rsidP="00CC30AE">
      <w:pPr>
        <w:spacing w:after="0" w:line="259" w:lineRule="auto"/>
        <w:ind w:left="360" w:right="0" w:firstLine="0"/>
        <w:jc w:val="left"/>
      </w:pPr>
    </w:p>
    <w:p w:rsidR="00FB4655" w:rsidRPr="0047226E" w:rsidRDefault="0047226E" w:rsidP="00D77818">
      <w:pPr>
        <w:spacing w:after="120" w:line="250" w:lineRule="auto"/>
        <w:ind w:left="11" w:right="0" w:firstLine="556"/>
        <w:rPr>
          <w:rFonts w:ascii="Arial" w:hAnsi="Arial" w:cs="Arial"/>
        </w:rPr>
      </w:pPr>
      <w:r>
        <w:tab/>
      </w:r>
      <w:r w:rsidR="00FB4655" w:rsidRPr="0047226E">
        <w:rPr>
          <w:rFonts w:ascii="Arial" w:hAnsi="Arial" w:cs="Arial"/>
        </w:rPr>
        <w:t>Debido a que la conformación del Gobierno resultado de las elecciones generales del 23 de julio se ha realizado a finales del mes de noviembre, el Ejecutivo no ha presentado el Proyecto de Presupuesto Generales del Estado para 2024 ni se ha aprobado por las Cortes Generales antes del 1 de enero de 2024.</w:t>
      </w:r>
    </w:p>
    <w:p w:rsidR="00FB4655" w:rsidRPr="0047226E" w:rsidRDefault="009938D9" w:rsidP="00A54647">
      <w:pPr>
        <w:spacing w:after="120" w:line="250" w:lineRule="auto"/>
        <w:ind w:left="11" w:right="0" w:firstLine="556"/>
        <w:rPr>
          <w:rFonts w:ascii="Arial" w:hAnsi="Arial" w:cs="Arial"/>
        </w:rPr>
      </w:pPr>
      <w:r>
        <w:rPr>
          <w:rFonts w:ascii="Arial" w:hAnsi="Arial" w:cs="Arial"/>
        </w:rPr>
        <w:tab/>
      </w:r>
      <w:r w:rsidR="00FB4655" w:rsidRPr="0047226E">
        <w:rPr>
          <w:rFonts w:ascii="Arial" w:hAnsi="Arial" w:cs="Arial"/>
        </w:rPr>
        <w:t xml:space="preserve">Por ello, de conformidad con lo establecido en el artículo 134.4 de la Constitución Española, a esta fecha están automáticamente Prorrogados los Presupuestos Generales del Estado </w:t>
      </w:r>
      <w:r w:rsidR="005306C2">
        <w:rPr>
          <w:rFonts w:ascii="Arial" w:hAnsi="Arial" w:cs="Arial"/>
        </w:rPr>
        <w:t xml:space="preserve">(en adelante LPGE-P 2024) </w:t>
      </w:r>
      <w:r w:rsidR="00FB4655" w:rsidRPr="0047226E">
        <w:rPr>
          <w:rFonts w:ascii="Arial" w:hAnsi="Arial" w:cs="Arial"/>
        </w:rPr>
        <w:t>correspondientes al anterior ejercicio de 2023</w:t>
      </w:r>
      <w:r w:rsidR="003C6AD7" w:rsidRPr="003C6AD7">
        <w:rPr>
          <w:rFonts w:ascii="Arial" w:hAnsi="Arial" w:cs="Arial"/>
        </w:rPr>
        <w:t xml:space="preserve"> aprobados por la Ley 31/2022, de 23 de diciembre y publicados en el B.O.E. de 24/12/2022</w:t>
      </w:r>
      <w:r w:rsidR="005306C2">
        <w:rPr>
          <w:rFonts w:ascii="Arial" w:hAnsi="Arial" w:cs="Arial"/>
        </w:rPr>
        <w:t xml:space="preserve"> (en adelante LPGE 2023)</w:t>
      </w:r>
      <w:r w:rsidR="003C6AD7">
        <w:rPr>
          <w:rFonts w:ascii="Arial" w:hAnsi="Arial" w:cs="Arial"/>
        </w:rPr>
        <w:t xml:space="preserve">, </w:t>
      </w:r>
      <w:r w:rsidR="00FB4655" w:rsidRPr="0047226E">
        <w:rPr>
          <w:rFonts w:ascii="Arial" w:hAnsi="Arial" w:cs="Arial"/>
        </w:rPr>
        <w:t>situación que se mantendrá hasta la aprobación de los nuevos.</w:t>
      </w:r>
    </w:p>
    <w:p w:rsidR="00EF5691" w:rsidRDefault="009938D9" w:rsidP="005306C2">
      <w:pPr>
        <w:spacing w:after="120" w:line="250" w:lineRule="auto"/>
        <w:ind w:left="11" w:right="0" w:firstLine="556"/>
        <w:rPr>
          <w:rFonts w:ascii="Arial" w:hAnsi="Arial" w:cs="Arial"/>
        </w:rPr>
      </w:pPr>
      <w:r>
        <w:rPr>
          <w:rFonts w:ascii="Arial" w:hAnsi="Arial" w:cs="Arial"/>
        </w:rPr>
        <w:tab/>
      </w:r>
      <w:r w:rsidR="00FB4655" w:rsidRPr="0047226E">
        <w:rPr>
          <w:rFonts w:ascii="Arial" w:hAnsi="Arial" w:cs="Arial"/>
        </w:rPr>
        <w:t xml:space="preserve">La ausencia de norma presupuestaria estatal </w:t>
      </w:r>
      <w:r w:rsidR="002F29AE" w:rsidRPr="0047226E">
        <w:rPr>
          <w:rFonts w:ascii="Arial" w:hAnsi="Arial" w:cs="Arial"/>
        </w:rPr>
        <w:t xml:space="preserve">específica para 2024 </w:t>
      </w:r>
      <w:r w:rsidR="00FB4655" w:rsidRPr="0047226E">
        <w:rPr>
          <w:rFonts w:ascii="Arial" w:hAnsi="Arial" w:cs="Arial"/>
        </w:rPr>
        <w:t xml:space="preserve">hace que las habituales disposiciones contenidas en la misma </w:t>
      </w:r>
      <w:r w:rsidR="00B2774B">
        <w:rPr>
          <w:rFonts w:ascii="Arial" w:hAnsi="Arial" w:cs="Arial"/>
        </w:rPr>
        <w:t xml:space="preserve">aplicables a las Entidades Locales </w:t>
      </w:r>
      <w:r w:rsidR="00FB4655" w:rsidRPr="0047226E">
        <w:rPr>
          <w:rFonts w:ascii="Arial" w:hAnsi="Arial" w:cs="Arial"/>
        </w:rPr>
        <w:t xml:space="preserve">relativas a </w:t>
      </w:r>
      <w:r w:rsidR="00B2774B">
        <w:rPr>
          <w:rFonts w:ascii="Arial" w:hAnsi="Arial" w:cs="Arial"/>
        </w:rPr>
        <w:t xml:space="preserve">las </w:t>
      </w:r>
      <w:r w:rsidR="00FB4655" w:rsidRPr="0047226E">
        <w:rPr>
          <w:rFonts w:ascii="Arial" w:hAnsi="Arial" w:cs="Arial"/>
        </w:rPr>
        <w:t xml:space="preserve">materias presupuestaria, </w:t>
      </w:r>
      <w:r w:rsidR="00B2774B">
        <w:rPr>
          <w:rFonts w:ascii="Arial" w:hAnsi="Arial" w:cs="Arial"/>
        </w:rPr>
        <w:t xml:space="preserve">de </w:t>
      </w:r>
      <w:r w:rsidR="00FB4655" w:rsidRPr="0047226E">
        <w:rPr>
          <w:rFonts w:ascii="Arial" w:hAnsi="Arial" w:cs="Arial"/>
        </w:rPr>
        <w:t>hacien</w:t>
      </w:r>
      <w:r w:rsidR="00B2774B">
        <w:rPr>
          <w:rFonts w:ascii="Arial" w:hAnsi="Arial" w:cs="Arial"/>
        </w:rPr>
        <w:t xml:space="preserve">das locales, financiera y de </w:t>
      </w:r>
      <w:r w:rsidR="00FB4655" w:rsidRPr="0047226E">
        <w:rPr>
          <w:rFonts w:ascii="Arial" w:hAnsi="Arial" w:cs="Arial"/>
        </w:rPr>
        <w:t xml:space="preserve">personal </w:t>
      </w:r>
      <w:r w:rsidR="00B2774B">
        <w:rPr>
          <w:rFonts w:ascii="Arial" w:hAnsi="Arial" w:cs="Arial"/>
        </w:rPr>
        <w:t xml:space="preserve">para este </w:t>
      </w:r>
      <w:r w:rsidR="00FB4655" w:rsidRPr="0047226E">
        <w:rPr>
          <w:rFonts w:ascii="Arial" w:hAnsi="Arial" w:cs="Arial"/>
        </w:rPr>
        <w:t xml:space="preserve">ejercicio presupuestario de 2024, deban esperar a la aprobación y entrada en vigor de la </w:t>
      </w:r>
      <w:r w:rsidR="00A54647">
        <w:rPr>
          <w:rFonts w:ascii="Arial" w:hAnsi="Arial" w:cs="Arial"/>
        </w:rPr>
        <w:t xml:space="preserve">nueva </w:t>
      </w:r>
      <w:r w:rsidR="00FB4655" w:rsidRPr="0047226E">
        <w:rPr>
          <w:rFonts w:ascii="Arial" w:hAnsi="Arial" w:cs="Arial"/>
        </w:rPr>
        <w:t>Ley de Presupuestos Generales</w:t>
      </w:r>
      <w:r w:rsidR="004808B6">
        <w:rPr>
          <w:rFonts w:ascii="Arial" w:hAnsi="Arial" w:cs="Arial"/>
        </w:rPr>
        <w:t xml:space="preserve">, </w:t>
      </w:r>
      <w:r w:rsidR="00A54647">
        <w:rPr>
          <w:rFonts w:ascii="Arial" w:hAnsi="Arial" w:cs="Arial"/>
        </w:rPr>
        <w:t xml:space="preserve">aún </w:t>
      </w:r>
      <w:r w:rsidR="004808B6">
        <w:rPr>
          <w:rFonts w:ascii="Arial" w:hAnsi="Arial" w:cs="Arial"/>
        </w:rPr>
        <w:t xml:space="preserve">con fecha </w:t>
      </w:r>
      <w:r w:rsidR="00A54647">
        <w:rPr>
          <w:rFonts w:ascii="Arial" w:hAnsi="Arial" w:cs="Arial"/>
        </w:rPr>
        <w:t>incierta,</w:t>
      </w:r>
      <w:r w:rsidR="00FB4655" w:rsidRPr="0047226E">
        <w:rPr>
          <w:rFonts w:ascii="Arial" w:hAnsi="Arial" w:cs="Arial"/>
        </w:rPr>
        <w:t xml:space="preserve"> de lo que se informará oportunamente.</w:t>
      </w:r>
      <w:r w:rsidR="002F29AE" w:rsidRPr="0047226E">
        <w:rPr>
          <w:rFonts w:ascii="Arial" w:hAnsi="Arial" w:cs="Arial"/>
        </w:rPr>
        <w:t xml:space="preserve"> Sin embargo, esta falta se ha visto parcialmente </w:t>
      </w:r>
      <w:r w:rsidR="00FD76FA" w:rsidRPr="0047226E">
        <w:rPr>
          <w:rFonts w:ascii="Arial" w:hAnsi="Arial" w:cs="Arial"/>
        </w:rPr>
        <w:t>atemperada</w:t>
      </w:r>
      <w:r w:rsidR="002F29AE" w:rsidRPr="0047226E">
        <w:rPr>
          <w:rFonts w:ascii="Arial" w:hAnsi="Arial" w:cs="Arial"/>
        </w:rPr>
        <w:t xml:space="preserve"> por la publicación el día </w:t>
      </w:r>
      <w:r w:rsidR="00203CD3">
        <w:rPr>
          <w:rFonts w:ascii="Arial" w:hAnsi="Arial" w:cs="Arial"/>
        </w:rPr>
        <w:t>2</w:t>
      </w:r>
      <w:r w:rsidR="002F29AE" w:rsidRPr="0047226E">
        <w:rPr>
          <w:rFonts w:ascii="Arial" w:hAnsi="Arial" w:cs="Arial"/>
        </w:rPr>
        <w:t>8 de diciembre de 2023 del Real Decreto-ley 8/2023</w:t>
      </w:r>
      <w:r w:rsidR="00FD76FA" w:rsidRPr="0047226E">
        <w:rPr>
          <w:rFonts w:ascii="Arial" w:hAnsi="Arial" w:cs="Arial"/>
        </w:rPr>
        <w:t xml:space="preserve">, de 27 de diciembre, por el que se adoptan medidas para afrontar las consecuencias económicas y sociales derivadas de los conflictos en ucrania y Oriente Próximo, así como para paliar </w:t>
      </w:r>
      <w:r w:rsidR="00203CD3">
        <w:rPr>
          <w:rFonts w:ascii="Arial" w:hAnsi="Arial" w:cs="Arial"/>
        </w:rPr>
        <w:t xml:space="preserve">los efectos de la sequía </w:t>
      </w:r>
      <w:r w:rsidR="005306C2">
        <w:rPr>
          <w:rFonts w:ascii="Arial" w:hAnsi="Arial" w:cs="Arial"/>
        </w:rPr>
        <w:t xml:space="preserve">(en adelante </w:t>
      </w:r>
      <w:r w:rsidR="00DC1DAE">
        <w:rPr>
          <w:rFonts w:ascii="Arial" w:hAnsi="Arial" w:cs="Arial"/>
        </w:rPr>
        <w:t>RDL</w:t>
      </w:r>
      <w:r w:rsidR="005306C2">
        <w:rPr>
          <w:rFonts w:ascii="Arial" w:hAnsi="Arial" w:cs="Arial"/>
        </w:rPr>
        <w:t xml:space="preserve"> 8/2023) </w:t>
      </w:r>
      <w:r w:rsidR="001D5FE0">
        <w:rPr>
          <w:rFonts w:ascii="Arial" w:hAnsi="Arial" w:cs="Arial"/>
        </w:rPr>
        <w:t>publicado en el B.O.E. de 28/12/2023</w:t>
      </w:r>
      <w:r w:rsidR="00BD1E4A">
        <w:rPr>
          <w:rFonts w:ascii="Arial" w:hAnsi="Arial" w:cs="Arial"/>
        </w:rPr>
        <w:t>,</w:t>
      </w:r>
      <w:r w:rsidR="001D5FE0">
        <w:rPr>
          <w:rFonts w:ascii="Arial" w:hAnsi="Arial" w:cs="Arial"/>
        </w:rPr>
        <w:t xml:space="preserve"> </w:t>
      </w:r>
      <w:r w:rsidR="00203CD3">
        <w:rPr>
          <w:rFonts w:ascii="Arial" w:hAnsi="Arial" w:cs="Arial"/>
        </w:rPr>
        <w:t>que</w:t>
      </w:r>
      <w:r w:rsidR="004808B6">
        <w:rPr>
          <w:rFonts w:ascii="Arial" w:hAnsi="Arial" w:cs="Arial"/>
        </w:rPr>
        <w:t xml:space="preserve"> contiene algunas normas con repercusión para las Entidades Locales</w:t>
      </w:r>
      <w:r w:rsidR="00BD1E4A">
        <w:rPr>
          <w:rFonts w:ascii="Arial" w:hAnsi="Arial" w:cs="Arial"/>
        </w:rPr>
        <w:t xml:space="preserve">, </w:t>
      </w:r>
      <w:r w:rsidR="004E2FAA">
        <w:rPr>
          <w:rFonts w:ascii="Arial" w:hAnsi="Arial" w:cs="Arial"/>
        </w:rPr>
        <w:t>caracterizadas por el empleo de</w:t>
      </w:r>
      <w:r w:rsidR="00BD1E4A">
        <w:rPr>
          <w:rFonts w:ascii="Arial" w:hAnsi="Arial" w:cs="Arial"/>
        </w:rPr>
        <w:t xml:space="preserve"> </w:t>
      </w:r>
      <w:r w:rsidR="004808B6">
        <w:rPr>
          <w:rFonts w:ascii="Arial" w:hAnsi="Arial" w:cs="Arial"/>
        </w:rPr>
        <w:t xml:space="preserve">una técnica legislativa que oscila entre la simple extrapolación </w:t>
      </w:r>
      <w:r w:rsidR="00BD1E4A">
        <w:rPr>
          <w:rFonts w:ascii="Arial" w:hAnsi="Arial" w:cs="Arial"/>
        </w:rPr>
        <w:t xml:space="preserve">al </w:t>
      </w:r>
      <w:r w:rsidR="004E2FAA">
        <w:rPr>
          <w:rFonts w:ascii="Arial" w:hAnsi="Arial" w:cs="Arial"/>
        </w:rPr>
        <w:t xml:space="preserve">nuevo ejercicio </w:t>
      </w:r>
      <w:r w:rsidR="00BD1E4A">
        <w:rPr>
          <w:rFonts w:ascii="Arial" w:hAnsi="Arial" w:cs="Arial"/>
        </w:rPr>
        <w:t xml:space="preserve">de </w:t>
      </w:r>
      <w:r w:rsidR="00595EB5">
        <w:rPr>
          <w:rFonts w:ascii="Arial" w:hAnsi="Arial" w:cs="Arial"/>
        </w:rPr>
        <w:t>sus gemelas</w:t>
      </w:r>
      <w:r w:rsidR="00BD1E4A">
        <w:rPr>
          <w:rFonts w:ascii="Arial" w:hAnsi="Arial" w:cs="Arial"/>
        </w:rPr>
        <w:t xml:space="preserve"> recogidas </w:t>
      </w:r>
      <w:r w:rsidR="00BD1E4A" w:rsidRPr="001819A3">
        <w:rPr>
          <w:rFonts w:ascii="Arial" w:hAnsi="Arial" w:cs="Arial"/>
        </w:rPr>
        <w:t>e</w:t>
      </w:r>
      <w:r w:rsidR="00203CD3" w:rsidRPr="001819A3">
        <w:rPr>
          <w:rFonts w:ascii="Arial" w:hAnsi="Arial" w:cs="Arial"/>
        </w:rPr>
        <w:t xml:space="preserve">n la LPGE 2023 </w:t>
      </w:r>
      <w:r w:rsidR="004E2FAA">
        <w:rPr>
          <w:rFonts w:ascii="Arial" w:hAnsi="Arial" w:cs="Arial"/>
        </w:rPr>
        <w:t xml:space="preserve">y previstas </w:t>
      </w:r>
      <w:r w:rsidR="00203CD3" w:rsidRPr="001819A3">
        <w:rPr>
          <w:rFonts w:ascii="Arial" w:hAnsi="Arial" w:cs="Arial"/>
        </w:rPr>
        <w:t>para el año pasado</w:t>
      </w:r>
      <w:r w:rsidR="001819A3" w:rsidRPr="001819A3">
        <w:rPr>
          <w:rFonts w:ascii="Arial" w:hAnsi="Arial" w:cs="Arial"/>
        </w:rPr>
        <w:t xml:space="preserve">, </w:t>
      </w:r>
      <w:r w:rsidR="007866FB" w:rsidRPr="001819A3">
        <w:rPr>
          <w:rFonts w:ascii="Arial" w:hAnsi="Arial" w:cs="Arial"/>
        </w:rPr>
        <w:t>o</w:t>
      </w:r>
      <w:r w:rsidR="00203CD3" w:rsidRPr="001819A3">
        <w:rPr>
          <w:rFonts w:ascii="Arial" w:hAnsi="Arial" w:cs="Arial"/>
        </w:rPr>
        <w:t xml:space="preserve"> la </w:t>
      </w:r>
      <w:r w:rsidR="001819A3" w:rsidRPr="001819A3">
        <w:rPr>
          <w:rFonts w:ascii="Arial" w:hAnsi="Arial" w:cs="Arial"/>
        </w:rPr>
        <w:t xml:space="preserve">adaptación mediante pequeñas reformas </w:t>
      </w:r>
      <w:r w:rsidR="000D75F4">
        <w:rPr>
          <w:rFonts w:ascii="Arial" w:hAnsi="Arial" w:cs="Arial"/>
        </w:rPr>
        <w:t>por otro lado</w:t>
      </w:r>
      <w:r w:rsidR="00203CD3" w:rsidRPr="001819A3">
        <w:rPr>
          <w:rFonts w:ascii="Arial" w:hAnsi="Arial" w:cs="Arial"/>
        </w:rPr>
        <w:t>.</w:t>
      </w:r>
    </w:p>
    <w:p w:rsidR="005306C2" w:rsidRPr="0047226E" w:rsidRDefault="005306C2" w:rsidP="00B561F9">
      <w:pPr>
        <w:spacing w:after="360" w:line="250" w:lineRule="auto"/>
        <w:ind w:left="11" w:right="0" w:firstLine="556"/>
        <w:rPr>
          <w:rFonts w:ascii="Arial" w:hAnsi="Arial" w:cs="Arial"/>
        </w:rPr>
      </w:pPr>
      <w:r>
        <w:rPr>
          <w:rFonts w:ascii="Arial" w:hAnsi="Arial" w:cs="Arial"/>
        </w:rPr>
        <w:t xml:space="preserve">Por tanto, de </w:t>
      </w:r>
      <w:r w:rsidR="00E2492F">
        <w:rPr>
          <w:rFonts w:ascii="Arial" w:hAnsi="Arial" w:cs="Arial"/>
        </w:rPr>
        <w:t xml:space="preserve">la </w:t>
      </w:r>
      <w:r w:rsidR="000D75F4">
        <w:rPr>
          <w:rFonts w:ascii="Arial" w:hAnsi="Arial" w:cs="Arial"/>
        </w:rPr>
        <w:t>interrelación</w:t>
      </w:r>
      <w:r w:rsidR="00E2492F">
        <w:rPr>
          <w:rFonts w:ascii="Arial" w:hAnsi="Arial" w:cs="Arial"/>
        </w:rPr>
        <w:t xml:space="preserve"> de ambas normas</w:t>
      </w:r>
      <w:r>
        <w:rPr>
          <w:rFonts w:ascii="Arial" w:hAnsi="Arial" w:cs="Arial"/>
        </w:rPr>
        <w:t xml:space="preserve"> pueden </w:t>
      </w:r>
      <w:r w:rsidR="00E2492F">
        <w:rPr>
          <w:rFonts w:ascii="Arial" w:hAnsi="Arial" w:cs="Arial"/>
        </w:rPr>
        <w:t>extraerse</w:t>
      </w:r>
      <w:r>
        <w:rPr>
          <w:rFonts w:ascii="Arial" w:hAnsi="Arial" w:cs="Arial"/>
        </w:rPr>
        <w:t xml:space="preserve"> los siguientes aspectos:</w:t>
      </w:r>
    </w:p>
    <w:p w:rsidR="00FB4655" w:rsidRPr="0047226E" w:rsidRDefault="00FD76FA" w:rsidP="0047226E">
      <w:pPr>
        <w:spacing w:line="250" w:lineRule="auto"/>
        <w:ind w:left="11" w:right="0" w:hanging="11"/>
        <w:rPr>
          <w:rFonts w:ascii="Arial" w:hAnsi="Arial" w:cs="Arial"/>
        </w:rPr>
      </w:pPr>
      <w:r w:rsidRPr="0047226E">
        <w:rPr>
          <w:rFonts w:ascii="Arial" w:hAnsi="Arial" w:cs="Arial"/>
        </w:rPr>
        <w:t xml:space="preserve"> </w:t>
      </w: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04"/>
      </w:tblGrid>
      <w:tr w:rsidR="00E30FF9" w:rsidTr="00E77D8B">
        <w:tc>
          <w:tcPr>
            <w:tcW w:w="9204" w:type="dxa"/>
            <w:tcBorders>
              <w:top w:val="single" w:sz="4" w:space="0" w:color="auto"/>
              <w:left w:val="nil"/>
              <w:bottom w:val="single" w:sz="4" w:space="0" w:color="auto"/>
              <w:right w:val="nil"/>
            </w:tcBorders>
            <w:shd w:val="clear" w:color="auto" w:fill="FFFFFF" w:themeFill="background1"/>
          </w:tcPr>
          <w:p w:rsidR="00E30FF9" w:rsidRPr="00E30FF9" w:rsidRDefault="00E30FF9" w:rsidP="00EF36BE">
            <w:pPr>
              <w:spacing w:before="240" w:after="240" w:line="250" w:lineRule="auto"/>
              <w:ind w:left="284" w:right="0" w:hanging="284"/>
              <w:jc w:val="center"/>
              <w:rPr>
                <w:rFonts w:ascii="Arial" w:hAnsi="Arial" w:cs="Arial"/>
              </w:rPr>
            </w:pPr>
            <w:r w:rsidRPr="00E30FF9">
              <w:rPr>
                <w:rFonts w:ascii="Arial" w:hAnsi="Arial" w:cs="Arial"/>
                <w:b/>
                <w:color w:val="auto"/>
                <w:u w:color="0000FF"/>
              </w:rPr>
              <w:t xml:space="preserve">1.- PARTICIPACIÓN DE </w:t>
            </w:r>
            <w:r w:rsidRPr="00EF36BE">
              <w:rPr>
                <w:rFonts w:ascii="Arial" w:hAnsi="Arial" w:cs="Arial"/>
                <w:b/>
              </w:rPr>
              <w:t>LOS</w:t>
            </w:r>
            <w:r w:rsidRPr="00E30FF9">
              <w:rPr>
                <w:rFonts w:ascii="Arial" w:hAnsi="Arial" w:cs="Arial"/>
                <w:b/>
                <w:color w:val="auto"/>
                <w:u w:color="0000FF"/>
              </w:rPr>
              <w:t xml:space="preserve"> MUNICIPIOS EN LOS TRIBUTOS DEL</w:t>
            </w:r>
            <w:r w:rsidRPr="00E30FF9">
              <w:rPr>
                <w:rFonts w:ascii="Arial" w:hAnsi="Arial" w:cs="Arial"/>
                <w:b/>
                <w:color w:val="auto"/>
              </w:rPr>
              <w:t xml:space="preserve"> </w:t>
            </w:r>
            <w:r w:rsidRPr="00E30FF9">
              <w:rPr>
                <w:rFonts w:ascii="Arial" w:hAnsi="Arial" w:cs="Arial"/>
                <w:b/>
                <w:color w:val="auto"/>
                <w:u w:color="0000FF"/>
              </w:rPr>
              <w:t>ESTADO</w:t>
            </w:r>
          </w:p>
        </w:tc>
      </w:tr>
    </w:tbl>
    <w:p w:rsidR="00295FCC" w:rsidRDefault="009D6E73" w:rsidP="00D77818">
      <w:pPr>
        <w:spacing w:before="240" w:after="360" w:line="250" w:lineRule="auto"/>
        <w:ind w:left="0" w:right="0" w:firstLine="567"/>
      </w:pPr>
      <w:r w:rsidRPr="00E30FF9">
        <w:rPr>
          <w:rFonts w:ascii="Arial" w:hAnsi="Arial" w:cs="Arial"/>
        </w:rPr>
        <w:t xml:space="preserve">La participación de las Entidades Locales en los tributos del Estado se encuentra regulada en el </w:t>
      </w:r>
      <w:r w:rsidR="00042964">
        <w:rPr>
          <w:rFonts w:ascii="Arial" w:hAnsi="Arial" w:cs="Arial"/>
        </w:rPr>
        <w:t>Capítulo I del Título VII LPGE-</w:t>
      </w:r>
      <w:r w:rsidR="002C4729" w:rsidRPr="00E30FF9">
        <w:rPr>
          <w:rFonts w:ascii="Arial" w:hAnsi="Arial" w:cs="Arial"/>
        </w:rPr>
        <w:t>P</w:t>
      </w:r>
      <w:r w:rsidR="00042964">
        <w:rPr>
          <w:rFonts w:ascii="Arial" w:hAnsi="Arial" w:cs="Arial"/>
        </w:rPr>
        <w:t xml:space="preserve"> </w:t>
      </w:r>
      <w:r w:rsidRPr="00E30FF9">
        <w:rPr>
          <w:rFonts w:ascii="Arial" w:hAnsi="Arial" w:cs="Arial"/>
        </w:rPr>
        <w:t>202</w:t>
      </w:r>
      <w:r w:rsidR="00EF5691" w:rsidRPr="00E30FF9">
        <w:rPr>
          <w:rFonts w:ascii="Arial" w:hAnsi="Arial" w:cs="Arial"/>
        </w:rPr>
        <w:t>4</w:t>
      </w:r>
      <w:r w:rsidRPr="00E30FF9">
        <w:rPr>
          <w:rFonts w:ascii="Arial" w:hAnsi="Arial" w:cs="Arial"/>
        </w:rPr>
        <w:t xml:space="preserve"> (arts.92 y ss.)</w:t>
      </w:r>
      <w:r w:rsidR="00EF5691" w:rsidRPr="00E30FF9">
        <w:rPr>
          <w:rFonts w:ascii="Arial" w:hAnsi="Arial" w:cs="Arial"/>
        </w:rPr>
        <w:t xml:space="preserve"> y art</w:t>
      </w:r>
      <w:r w:rsidR="00AC458C" w:rsidRPr="00E30FF9">
        <w:rPr>
          <w:rFonts w:ascii="Arial" w:hAnsi="Arial" w:cs="Arial"/>
        </w:rPr>
        <w:t>s</w:t>
      </w:r>
      <w:r w:rsidR="00EF5691" w:rsidRPr="00E30FF9">
        <w:rPr>
          <w:rFonts w:ascii="Arial" w:hAnsi="Arial" w:cs="Arial"/>
        </w:rPr>
        <w:t xml:space="preserve">. </w:t>
      </w:r>
      <w:r w:rsidR="00AC458C" w:rsidRPr="00E30FF9">
        <w:rPr>
          <w:rFonts w:ascii="Arial" w:hAnsi="Arial" w:cs="Arial"/>
        </w:rPr>
        <w:t xml:space="preserve">25 y </w:t>
      </w:r>
      <w:r w:rsidR="00EF5691" w:rsidRPr="00E30FF9">
        <w:rPr>
          <w:rFonts w:ascii="Arial" w:hAnsi="Arial" w:cs="Arial"/>
        </w:rPr>
        <w:t>27.</w:t>
      </w:r>
      <w:r w:rsidR="00AC458C" w:rsidRPr="00E30FF9">
        <w:rPr>
          <w:rFonts w:ascii="Arial" w:hAnsi="Arial" w:cs="Arial"/>
        </w:rPr>
        <w:t>1</w:t>
      </w:r>
      <w:r w:rsidR="00EF5691" w:rsidRPr="00E30FF9">
        <w:rPr>
          <w:rFonts w:ascii="Arial" w:hAnsi="Arial" w:cs="Arial"/>
        </w:rPr>
        <w:t xml:space="preserve"> </w:t>
      </w:r>
      <w:r w:rsidR="00DC1DAE">
        <w:rPr>
          <w:rFonts w:ascii="Arial" w:hAnsi="Arial" w:cs="Arial"/>
        </w:rPr>
        <w:t>RDL</w:t>
      </w:r>
      <w:r w:rsidR="00EF5691" w:rsidRPr="00E30FF9">
        <w:rPr>
          <w:rFonts w:ascii="Arial" w:hAnsi="Arial" w:cs="Arial"/>
        </w:rPr>
        <w:t xml:space="preserve"> 8/2023</w:t>
      </w:r>
      <w:r w:rsidRPr="00E30FF9">
        <w:rPr>
          <w:rFonts w:ascii="Arial" w:hAnsi="Arial" w:cs="Arial"/>
        </w:rPr>
        <w:t xml:space="preserve">. En ellos se establece los criterios de cálculo para la participación. </w:t>
      </w:r>
      <w:r>
        <w:t xml:space="preserve"> </w:t>
      </w:r>
    </w:p>
    <w:p w:rsidR="00295FCC" w:rsidRPr="00A65207" w:rsidRDefault="009D6E73" w:rsidP="00EA7D26">
      <w:pPr>
        <w:pStyle w:val="Prrafodelista"/>
        <w:numPr>
          <w:ilvl w:val="0"/>
          <w:numId w:val="13"/>
        </w:numPr>
        <w:spacing w:after="120" w:line="250" w:lineRule="auto"/>
        <w:ind w:left="624" w:right="0" w:hanging="624"/>
        <w:contextualSpacing w:val="0"/>
        <w:rPr>
          <w:rFonts w:ascii="Arial" w:hAnsi="Arial" w:cs="Arial"/>
          <w:b/>
        </w:rPr>
      </w:pPr>
      <w:r w:rsidRPr="00A65207">
        <w:rPr>
          <w:rFonts w:ascii="Arial" w:hAnsi="Arial" w:cs="Arial"/>
          <w:b/>
        </w:rPr>
        <w:t xml:space="preserve">LIQUIDACION </w:t>
      </w:r>
      <w:r w:rsidR="0044396B" w:rsidRPr="00A65207">
        <w:rPr>
          <w:rFonts w:ascii="Arial" w:hAnsi="Arial" w:cs="Arial"/>
          <w:b/>
        </w:rPr>
        <w:t xml:space="preserve">DEFINITIVA </w:t>
      </w:r>
      <w:r w:rsidRPr="00A65207">
        <w:rPr>
          <w:rFonts w:ascii="Arial" w:hAnsi="Arial" w:cs="Arial"/>
          <w:b/>
        </w:rPr>
        <w:t xml:space="preserve">DE </w:t>
      </w:r>
      <w:r w:rsidR="00A65207" w:rsidRPr="00A65207">
        <w:rPr>
          <w:rFonts w:ascii="Arial" w:hAnsi="Arial" w:cs="Arial"/>
          <w:b/>
        </w:rPr>
        <w:t xml:space="preserve">LA </w:t>
      </w:r>
      <w:r w:rsidRPr="00A65207">
        <w:rPr>
          <w:rFonts w:ascii="Arial" w:hAnsi="Arial" w:cs="Arial"/>
          <w:b/>
        </w:rPr>
        <w:t>PARTICIPAC</w:t>
      </w:r>
      <w:r w:rsidR="0044396B" w:rsidRPr="00A65207">
        <w:rPr>
          <w:rFonts w:ascii="Arial" w:hAnsi="Arial" w:cs="Arial"/>
          <w:b/>
        </w:rPr>
        <w:t>ION C</w:t>
      </w:r>
      <w:r w:rsidRPr="00A65207">
        <w:rPr>
          <w:rFonts w:ascii="Arial" w:hAnsi="Arial" w:cs="Arial"/>
          <w:b/>
        </w:rPr>
        <w:t>ORRESPONDIENTE AL AÑO 202</w:t>
      </w:r>
      <w:r w:rsidR="00CF1091" w:rsidRPr="00A65207">
        <w:rPr>
          <w:rFonts w:ascii="Arial" w:hAnsi="Arial" w:cs="Arial"/>
          <w:b/>
        </w:rPr>
        <w:t>2</w:t>
      </w:r>
      <w:r w:rsidR="00EC0CDB" w:rsidRPr="00A65207">
        <w:rPr>
          <w:rFonts w:ascii="Arial" w:hAnsi="Arial" w:cs="Arial"/>
          <w:b/>
        </w:rPr>
        <w:t xml:space="preserve"> (a</w:t>
      </w:r>
      <w:r w:rsidRPr="00A65207">
        <w:rPr>
          <w:rFonts w:ascii="Arial" w:hAnsi="Arial" w:cs="Arial"/>
          <w:b/>
        </w:rPr>
        <w:t>rt. 92 LPGE</w:t>
      </w:r>
      <w:r w:rsidR="00042964">
        <w:rPr>
          <w:rFonts w:ascii="Arial" w:hAnsi="Arial" w:cs="Arial"/>
          <w:b/>
        </w:rPr>
        <w:t>-</w:t>
      </w:r>
      <w:r w:rsidR="002C4729" w:rsidRPr="00A65207">
        <w:rPr>
          <w:rFonts w:ascii="Arial" w:hAnsi="Arial" w:cs="Arial"/>
          <w:b/>
        </w:rPr>
        <w:t>P</w:t>
      </w:r>
      <w:r w:rsidR="00042964">
        <w:rPr>
          <w:rFonts w:ascii="Arial" w:hAnsi="Arial" w:cs="Arial"/>
          <w:b/>
        </w:rPr>
        <w:t xml:space="preserve"> </w:t>
      </w:r>
      <w:r w:rsidR="002C4729" w:rsidRPr="00A65207">
        <w:rPr>
          <w:rFonts w:ascii="Arial" w:hAnsi="Arial" w:cs="Arial"/>
          <w:b/>
        </w:rPr>
        <w:t>2024</w:t>
      </w:r>
      <w:r w:rsidR="00924D48" w:rsidRPr="00A65207">
        <w:rPr>
          <w:rFonts w:ascii="Arial" w:hAnsi="Arial" w:cs="Arial"/>
          <w:b/>
        </w:rPr>
        <w:t xml:space="preserve"> y art. 26.2 </w:t>
      </w:r>
      <w:r w:rsidR="00DC1DAE">
        <w:rPr>
          <w:rFonts w:ascii="Arial" w:hAnsi="Arial" w:cs="Arial"/>
          <w:b/>
        </w:rPr>
        <w:t>RDL</w:t>
      </w:r>
      <w:r w:rsidR="00924D48" w:rsidRPr="00A65207">
        <w:rPr>
          <w:rFonts w:ascii="Arial" w:hAnsi="Arial" w:cs="Arial"/>
          <w:b/>
        </w:rPr>
        <w:t xml:space="preserve"> 8/2023</w:t>
      </w:r>
      <w:r w:rsidRPr="00A65207">
        <w:rPr>
          <w:rFonts w:ascii="Arial" w:hAnsi="Arial" w:cs="Arial"/>
          <w:b/>
        </w:rPr>
        <w:t xml:space="preserve">)  </w:t>
      </w:r>
    </w:p>
    <w:p w:rsidR="00295FCC" w:rsidRDefault="00D77818" w:rsidP="00EC28C0">
      <w:pPr>
        <w:spacing w:after="360" w:line="250" w:lineRule="auto"/>
        <w:ind w:left="11" w:right="0" w:firstLine="556"/>
        <w:rPr>
          <w:rFonts w:ascii="Arial" w:hAnsi="Arial" w:cs="Arial"/>
        </w:rPr>
      </w:pPr>
      <w:r>
        <w:rPr>
          <w:rFonts w:ascii="Arial" w:hAnsi="Arial" w:cs="Arial"/>
        </w:rPr>
        <w:tab/>
      </w:r>
      <w:r w:rsidR="009D6E73" w:rsidRPr="00E30FF9">
        <w:rPr>
          <w:rFonts w:ascii="Arial" w:hAnsi="Arial" w:cs="Arial"/>
        </w:rPr>
        <w:t>Los saldos deudores que se pudieran derivar de la liquidación 202</w:t>
      </w:r>
      <w:r w:rsidR="00EC0CDB" w:rsidRPr="00E30FF9">
        <w:rPr>
          <w:rFonts w:ascii="Arial" w:hAnsi="Arial" w:cs="Arial"/>
        </w:rPr>
        <w:t>2</w:t>
      </w:r>
      <w:r w:rsidR="009D6E73" w:rsidRPr="00E30FF9">
        <w:rPr>
          <w:rFonts w:ascii="Arial" w:hAnsi="Arial" w:cs="Arial"/>
        </w:rPr>
        <w:t xml:space="preserve"> serán reembolsados por las Entidades Locales afectadas mediante compensación con cargo a las entregas a cuenta, que se perciban con posterioridad a la liquidación definitiva, en un periodo máximo de tres años, mediante retenciones trimestrales equivalentes al 25 por ciento de una entrega mensual, salvo que, aplicando este criterio, se exceda el plazo señalado, en cuyo caso se ajustará la frecuencia y la cuantía de las retenciones correspondientes al objeto de que no se produzca esta situación.    </w:t>
      </w:r>
    </w:p>
    <w:p w:rsidR="001B10EF" w:rsidRDefault="001B10EF" w:rsidP="00EC28C0">
      <w:pPr>
        <w:spacing w:after="360" w:line="250" w:lineRule="auto"/>
        <w:ind w:left="11" w:right="0" w:firstLine="556"/>
        <w:rPr>
          <w:rFonts w:ascii="Arial" w:hAnsi="Arial" w:cs="Arial"/>
        </w:rPr>
      </w:pPr>
    </w:p>
    <w:p w:rsidR="004F1459" w:rsidRDefault="004F1459" w:rsidP="00EC28C0">
      <w:pPr>
        <w:spacing w:after="360" w:line="250" w:lineRule="auto"/>
        <w:ind w:left="11" w:right="0" w:firstLine="556"/>
        <w:rPr>
          <w:rFonts w:ascii="Arial" w:hAnsi="Arial" w:cs="Arial"/>
        </w:rPr>
      </w:pPr>
    </w:p>
    <w:p w:rsidR="00295FCC" w:rsidRPr="000F668C" w:rsidRDefault="009D6E73" w:rsidP="00EA7D26">
      <w:pPr>
        <w:pStyle w:val="Prrafodelista"/>
        <w:numPr>
          <w:ilvl w:val="0"/>
          <w:numId w:val="13"/>
        </w:numPr>
        <w:spacing w:after="120" w:line="250" w:lineRule="auto"/>
        <w:ind w:left="624" w:right="0" w:hanging="624"/>
        <w:contextualSpacing w:val="0"/>
        <w:rPr>
          <w:rFonts w:ascii="Arial" w:hAnsi="Arial" w:cs="Arial"/>
          <w:b/>
        </w:rPr>
      </w:pPr>
      <w:r w:rsidRPr="000F668C">
        <w:rPr>
          <w:rFonts w:ascii="Arial" w:hAnsi="Arial" w:cs="Arial"/>
          <w:b/>
        </w:rPr>
        <w:t xml:space="preserve"> ENTREGAS A CUENTA EN LA PARTICIPACION DE LOS MUNICIPIOS EN LOS TRIBUTOS DE ESTADO PARA EL EJERCICIO 202</w:t>
      </w:r>
      <w:r w:rsidR="00EC0CDB" w:rsidRPr="000F668C">
        <w:rPr>
          <w:rFonts w:ascii="Arial" w:hAnsi="Arial" w:cs="Arial"/>
          <w:b/>
        </w:rPr>
        <w:t>4</w:t>
      </w:r>
      <w:r w:rsidRPr="000F668C">
        <w:rPr>
          <w:rFonts w:ascii="Arial" w:hAnsi="Arial" w:cs="Arial"/>
          <w:b/>
        </w:rPr>
        <w:t xml:space="preserve">. </w:t>
      </w:r>
    </w:p>
    <w:p w:rsidR="00295FCC" w:rsidRPr="00E30FF9" w:rsidRDefault="009D6E73" w:rsidP="00FA5E51">
      <w:pPr>
        <w:spacing w:after="120" w:line="250" w:lineRule="auto"/>
        <w:ind w:left="11" w:right="0" w:firstLine="556"/>
        <w:rPr>
          <w:rFonts w:ascii="Arial" w:hAnsi="Arial" w:cs="Arial"/>
        </w:rPr>
      </w:pPr>
      <w:r w:rsidRPr="00E30FF9">
        <w:rPr>
          <w:rFonts w:ascii="Arial" w:hAnsi="Arial" w:cs="Arial"/>
        </w:rPr>
        <w:t xml:space="preserve"> </w:t>
      </w:r>
      <w:r w:rsidR="00D77818">
        <w:rPr>
          <w:rFonts w:ascii="Arial" w:hAnsi="Arial" w:cs="Arial"/>
        </w:rPr>
        <w:tab/>
      </w:r>
      <w:r w:rsidRPr="00E30FF9">
        <w:rPr>
          <w:rFonts w:ascii="Arial" w:hAnsi="Arial" w:cs="Arial"/>
        </w:rPr>
        <w:t>La participación individual de cada municipio, que será abonada mensualmente por doceavas partes, se determinará de acuerdo con los criterios establecidos en el art.100.2 de la LPGE</w:t>
      </w:r>
      <w:r w:rsidR="00042964">
        <w:rPr>
          <w:rFonts w:ascii="Arial" w:hAnsi="Arial" w:cs="Arial"/>
        </w:rPr>
        <w:t>-</w:t>
      </w:r>
      <w:r w:rsidR="00EC0CDB" w:rsidRPr="00E30FF9">
        <w:rPr>
          <w:rFonts w:ascii="Arial" w:hAnsi="Arial" w:cs="Arial"/>
        </w:rPr>
        <w:t>P</w:t>
      </w:r>
      <w:r w:rsidR="00042964">
        <w:rPr>
          <w:rFonts w:ascii="Arial" w:hAnsi="Arial" w:cs="Arial"/>
        </w:rPr>
        <w:t xml:space="preserve"> </w:t>
      </w:r>
      <w:r w:rsidR="00EC0CDB" w:rsidRPr="00E30FF9">
        <w:rPr>
          <w:rFonts w:ascii="Arial" w:hAnsi="Arial" w:cs="Arial"/>
        </w:rPr>
        <w:t xml:space="preserve">2024 y art. </w:t>
      </w:r>
      <w:r w:rsidRPr="00E30FF9">
        <w:rPr>
          <w:rFonts w:ascii="Arial" w:hAnsi="Arial" w:cs="Arial"/>
        </w:rPr>
        <w:t xml:space="preserve"> </w:t>
      </w:r>
      <w:r w:rsidR="00EC0CDB" w:rsidRPr="00E30FF9">
        <w:rPr>
          <w:rFonts w:ascii="Arial" w:hAnsi="Arial" w:cs="Arial"/>
        </w:rPr>
        <w:t>27.</w:t>
      </w:r>
      <w:r w:rsidR="00AC458C" w:rsidRPr="00E30FF9">
        <w:rPr>
          <w:rFonts w:ascii="Arial" w:hAnsi="Arial" w:cs="Arial"/>
        </w:rPr>
        <w:t>1</w:t>
      </w:r>
      <w:r w:rsidR="00EC0CDB" w:rsidRPr="00E30FF9">
        <w:rPr>
          <w:rFonts w:ascii="Arial" w:hAnsi="Arial" w:cs="Arial"/>
        </w:rPr>
        <w:t xml:space="preserve"> </w:t>
      </w:r>
      <w:r w:rsidR="00DC1DAE">
        <w:rPr>
          <w:rFonts w:ascii="Arial" w:hAnsi="Arial" w:cs="Arial"/>
        </w:rPr>
        <w:t>RDL</w:t>
      </w:r>
      <w:r w:rsidR="00EC0CDB" w:rsidRPr="00E30FF9">
        <w:rPr>
          <w:rFonts w:ascii="Arial" w:hAnsi="Arial" w:cs="Arial"/>
        </w:rPr>
        <w:t xml:space="preserve"> 8/2023)</w:t>
      </w:r>
      <w:r w:rsidRPr="00E30FF9">
        <w:rPr>
          <w:rFonts w:ascii="Arial" w:hAnsi="Arial" w:cs="Arial"/>
        </w:rPr>
        <w:t xml:space="preserve">. </w:t>
      </w:r>
    </w:p>
    <w:p w:rsidR="00295FCC" w:rsidRDefault="00FA5E51" w:rsidP="008B2F61">
      <w:pPr>
        <w:spacing w:after="120" w:line="250" w:lineRule="auto"/>
        <w:ind w:left="11" w:right="0" w:hanging="11"/>
        <w:rPr>
          <w:rFonts w:ascii="Arial" w:hAnsi="Arial" w:cs="Arial"/>
        </w:rPr>
      </w:pPr>
      <w:r>
        <w:rPr>
          <w:rFonts w:ascii="Arial" w:hAnsi="Arial" w:cs="Arial"/>
        </w:rPr>
        <w:tab/>
      </w:r>
      <w:r>
        <w:rPr>
          <w:rFonts w:ascii="Arial" w:hAnsi="Arial" w:cs="Arial"/>
        </w:rPr>
        <w:tab/>
      </w:r>
      <w:r w:rsidR="009D6E73" w:rsidRPr="00E30FF9">
        <w:rPr>
          <w:rFonts w:ascii="Arial" w:hAnsi="Arial" w:cs="Arial"/>
        </w:rPr>
        <w:t xml:space="preserve">En la Oficina </w:t>
      </w:r>
      <w:r w:rsidR="00510F09">
        <w:rPr>
          <w:rFonts w:ascii="Arial" w:hAnsi="Arial" w:cs="Arial"/>
        </w:rPr>
        <w:t>V</w:t>
      </w:r>
      <w:r w:rsidR="009D6E73" w:rsidRPr="00E30FF9">
        <w:rPr>
          <w:rFonts w:ascii="Arial" w:hAnsi="Arial" w:cs="Arial"/>
        </w:rPr>
        <w:t xml:space="preserve">irtual para la </w:t>
      </w:r>
      <w:r w:rsidR="00510F09">
        <w:rPr>
          <w:rFonts w:ascii="Arial" w:hAnsi="Arial" w:cs="Arial"/>
        </w:rPr>
        <w:t>C</w:t>
      </w:r>
      <w:r w:rsidR="009D6E73" w:rsidRPr="00E30FF9">
        <w:rPr>
          <w:rFonts w:ascii="Arial" w:hAnsi="Arial" w:cs="Arial"/>
        </w:rPr>
        <w:t>oordinació</w:t>
      </w:r>
      <w:r w:rsidR="008D48E0">
        <w:rPr>
          <w:rFonts w:ascii="Arial" w:hAnsi="Arial" w:cs="Arial"/>
        </w:rPr>
        <w:t xml:space="preserve">n </w:t>
      </w:r>
      <w:r w:rsidR="00510F09">
        <w:rPr>
          <w:rFonts w:ascii="Arial" w:hAnsi="Arial" w:cs="Arial"/>
        </w:rPr>
        <w:t>F</w:t>
      </w:r>
      <w:r w:rsidR="008D48E0">
        <w:rPr>
          <w:rFonts w:ascii="Arial" w:hAnsi="Arial" w:cs="Arial"/>
        </w:rPr>
        <w:t>inanciera con las Entidades L</w:t>
      </w:r>
      <w:r w:rsidR="009D6E73" w:rsidRPr="00E30FF9">
        <w:rPr>
          <w:rFonts w:ascii="Arial" w:hAnsi="Arial" w:cs="Arial"/>
        </w:rPr>
        <w:t xml:space="preserve">ocales (en adelante OVEELL) se </w:t>
      </w:r>
      <w:r w:rsidR="002A0AE6" w:rsidRPr="00E30FF9">
        <w:rPr>
          <w:rFonts w:ascii="Arial" w:hAnsi="Arial" w:cs="Arial"/>
        </w:rPr>
        <w:t xml:space="preserve">irán publicando las </w:t>
      </w:r>
      <w:r w:rsidR="009D6E73" w:rsidRPr="00E30FF9">
        <w:rPr>
          <w:rFonts w:ascii="Arial" w:hAnsi="Arial" w:cs="Arial"/>
        </w:rPr>
        <w:t xml:space="preserve">entregas </w:t>
      </w:r>
      <w:r w:rsidR="002A0AE6" w:rsidRPr="00E30FF9">
        <w:rPr>
          <w:rFonts w:ascii="Arial" w:hAnsi="Arial" w:cs="Arial"/>
        </w:rPr>
        <w:t xml:space="preserve">mensuales </w:t>
      </w:r>
      <w:r w:rsidR="009D6E73" w:rsidRPr="00E30FF9">
        <w:rPr>
          <w:rFonts w:ascii="Arial" w:hAnsi="Arial" w:cs="Arial"/>
        </w:rPr>
        <w:t>a cuenta de la participación en tributos del Estado de las Entidades Locales para el ejercicio 202</w:t>
      </w:r>
      <w:r w:rsidR="002A0AE6" w:rsidRPr="00E30FF9">
        <w:rPr>
          <w:rFonts w:ascii="Arial" w:hAnsi="Arial" w:cs="Arial"/>
        </w:rPr>
        <w:t>4</w:t>
      </w:r>
      <w:r w:rsidR="009D6E73" w:rsidRPr="00E30FF9">
        <w:rPr>
          <w:rFonts w:ascii="Arial" w:hAnsi="Arial" w:cs="Arial"/>
        </w:rPr>
        <w:t xml:space="preserve">. </w:t>
      </w:r>
    </w:p>
    <w:p w:rsidR="008B2F61" w:rsidRDefault="008B2F61" w:rsidP="00FA5E51">
      <w:pPr>
        <w:spacing w:after="360" w:line="250" w:lineRule="auto"/>
        <w:ind w:left="11" w:right="0" w:hanging="11"/>
        <w:rPr>
          <w:rFonts w:ascii="Arial" w:hAnsi="Arial" w:cs="Arial"/>
        </w:rPr>
      </w:pPr>
      <w:r>
        <w:rPr>
          <w:rFonts w:ascii="Arial" w:hAnsi="Arial" w:cs="Arial"/>
        </w:rPr>
        <w:tab/>
      </w:r>
      <w:r>
        <w:rPr>
          <w:rFonts w:ascii="Arial" w:hAnsi="Arial" w:cs="Arial"/>
        </w:rPr>
        <w:tab/>
      </w:r>
      <w:r w:rsidR="007778C4">
        <w:rPr>
          <w:rFonts w:ascii="Arial" w:hAnsi="Arial" w:cs="Arial"/>
        </w:rPr>
        <w:t xml:space="preserve">Sin perjuicio de </w:t>
      </w:r>
      <w:r w:rsidR="002A21C0">
        <w:rPr>
          <w:rFonts w:ascii="Arial" w:hAnsi="Arial" w:cs="Arial"/>
        </w:rPr>
        <w:t xml:space="preserve">lo anterior, </w:t>
      </w:r>
      <w:r w:rsidR="007778C4">
        <w:rPr>
          <w:rFonts w:ascii="Arial" w:hAnsi="Arial" w:cs="Arial"/>
        </w:rPr>
        <w:t xml:space="preserve">como recoge </w:t>
      </w:r>
      <w:r w:rsidR="008D48E0">
        <w:rPr>
          <w:rFonts w:ascii="Arial" w:hAnsi="Arial" w:cs="Arial"/>
        </w:rPr>
        <w:t xml:space="preserve">en </w:t>
      </w:r>
      <w:r w:rsidR="007778C4">
        <w:rPr>
          <w:rFonts w:ascii="Arial" w:hAnsi="Arial" w:cs="Arial"/>
        </w:rPr>
        <w:t>la</w:t>
      </w:r>
      <w:r w:rsidR="002A21C0">
        <w:rPr>
          <w:rFonts w:ascii="Arial" w:hAnsi="Arial" w:cs="Arial"/>
        </w:rPr>
        <w:t xml:space="preserve"> Nota de Prensa del Ministerio de Hacienda y Función Pública publicada en su página </w:t>
      </w:r>
      <w:hyperlink r:id="rId7" w:history="1">
        <w:r w:rsidR="002A21C0" w:rsidRPr="009F5134">
          <w:rPr>
            <w:rStyle w:val="Hipervnculo"/>
            <w:rFonts w:ascii="Arial" w:hAnsi="Arial" w:cs="Arial"/>
          </w:rPr>
          <w:t>https://www.hacienda.gob.es/es-ES/Prensa/En%20Portada/2023/Paginas/20231211-CNAL.aspx</w:t>
        </w:r>
      </w:hyperlink>
      <w:r w:rsidR="002A21C0">
        <w:rPr>
          <w:rFonts w:ascii="Arial" w:hAnsi="Arial" w:cs="Arial"/>
        </w:rPr>
        <w:t>, tras la reunión mantenida por su titular María Jesús Montero con la Comisión Nacional de Administración Local</w:t>
      </w:r>
      <w:r w:rsidR="00272B4B">
        <w:rPr>
          <w:rFonts w:ascii="Arial" w:hAnsi="Arial" w:cs="Arial"/>
        </w:rPr>
        <w:t>, las Entidades Locales recibirán 28.557 millones de euros en recursos del sistema de financiación</w:t>
      </w:r>
      <w:r w:rsidR="00510F09">
        <w:rPr>
          <w:rFonts w:ascii="Arial" w:hAnsi="Arial" w:cs="Arial"/>
        </w:rPr>
        <w:t>, c</w:t>
      </w:r>
      <w:r w:rsidR="00272B4B">
        <w:rPr>
          <w:rFonts w:ascii="Arial" w:hAnsi="Arial" w:cs="Arial"/>
        </w:rPr>
        <w:t>ifra que es un 22,6% superior a la de 2023, lo que supone que las Entidades Locales recibirán en 2024 6.260 millones m</w:t>
      </w:r>
      <w:r>
        <w:rPr>
          <w:rFonts w:ascii="Arial" w:hAnsi="Arial" w:cs="Arial"/>
        </w:rPr>
        <w:t>ás que el año</w:t>
      </w:r>
      <w:r w:rsidR="008D48E0">
        <w:rPr>
          <w:rFonts w:ascii="Arial" w:hAnsi="Arial" w:cs="Arial"/>
        </w:rPr>
        <w:t xml:space="preserve"> </w:t>
      </w:r>
      <w:r w:rsidR="00510F09">
        <w:rPr>
          <w:rFonts w:ascii="Arial" w:hAnsi="Arial" w:cs="Arial"/>
        </w:rPr>
        <w:t>previo</w:t>
      </w:r>
      <w:r>
        <w:rPr>
          <w:rFonts w:ascii="Arial" w:hAnsi="Arial" w:cs="Arial"/>
        </w:rPr>
        <w:t xml:space="preserve">. De esos 28.557 millones, 23.773 </w:t>
      </w:r>
      <w:r w:rsidR="008D48E0">
        <w:rPr>
          <w:rFonts w:ascii="Arial" w:hAnsi="Arial" w:cs="Arial"/>
        </w:rPr>
        <w:t xml:space="preserve">millones de euros </w:t>
      </w:r>
      <w:r>
        <w:rPr>
          <w:rFonts w:ascii="Arial" w:hAnsi="Arial" w:cs="Arial"/>
        </w:rPr>
        <w:t xml:space="preserve">se </w:t>
      </w:r>
      <w:r w:rsidR="008D48E0">
        <w:rPr>
          <w:rFonts w:ascii="Arial" w:hAnsi="Arial" w:cs="Arial"/>
        </w:rPr>
        <w:t>percibirán</w:t>
      </w:r>
      <w:r>
        <w:rPr>
          <w:rFonts w:ascii="Arial" w:hAnsi="Arial" w:cs="Arial"/>
        </w:rPr>
        <w:t xml:space="preserve"> en forma de entregas a cuenta y los restantes 4.784 millones</w:t>
      </w:r>
      <w:r w:rsidR="00510F09">
        <w:rPr>
          <w:rFonts w:ascii="Arial" w:hAnsi="Arial" w:cs="Arial"/>
        </w:rPr>
        <w:t xml:space="preserve"> lo harán con cargo a</w:t>
      </w:r>
      <w:r>
        <w:rPr>
          <w:rFonts w:ascii="Arial" w:hAnsi="Arial" w:cs="Arial"/>
        </w:rPr>
        <w:t xml:space="preserve"> la liquidación definitiva de la </w:t>
      </w:r>
      <w:r w:rsidR="000F1A5B">
        <w:rPr>
          <w:rFonts w:ascii="Arial" w:hAnsi="Arial" w:cs="Arial"/>
        </w:rPr>
        <w:t>Participación en los Tributos del Estado</w:t>
      </w:r>
      <w:r>
        <w:rPr>
          <w:rFonts w:ascii="Arial" w:hAnsi="Arial" w:cs="Arial"/>
        </w:rPr>
        <w:t xml:space="preserve"> </w:t>
      </w:r>
    </w:p>
    <w:p w:rsidR="00295FCC" w:rsidRPr="00FA5E51" w:rsidRDefault="009D6E73" w:rsidP="00EA7D26">
      <w:pPr>
        <w:pStyle w:val="Prrafodelista"/>
        <w:numPr>
          <w:ilvl w:val="0"/>
          <w:numId w:val="13"/>
        </w:numPr>
        <w:spacing w:after="120" w:line="250" w:lineRule="auto"/>
        <w:ind w:left="624" w:right="0" w:hanging="624"/>
        <w:contextualSpacing w:val="0"/>
        <w:rPr>
          <w:rFonts w:ascii="Arial" w:hAnsi="Arial" w:cs="Arial"/>
          <w:b/>
        </w:rPr>
      </w:pPr>
      <w:r w:rsidRPr="00FA5E51">
        <w:rPr>
          <w:rFonts w:ascii="Arial" w:hAnsi="Arial" w:cs="Arial"/>
          <w:b/>
        </w:rPr>
        <w:t>ANTICIPOS A FAVOR DE LOS AYUNTAMIENTOS POR DESFASES EN LA GESTIÓN RECAUDATORIA DE LOS TRIBUTOS LOCALES (art. 114 LPGE</w:t>
      </w:r>
      <w:r w:rsidR="00042964">
        <w:rPr>
          <w:rFonts w:ascii="Arial" w:hAnsi="Arial" w:cs="Arial"/>
          <w:b/>
        </w:rPr>
        <w:t>-</w:t>
      </w:r>
      <w:r w:rsidR="00541FE4" w:rsidRPr="00FA5E51">
        <w:rPr>
          <w:rFonts w:ascii="Arial" w:hAnsi="Arial" w:cs="Arial"/>
          <w:b/>
        </w:rPr>
        <w:t>P</w:t>
      </w:r>
      <w:r w:rsidR="00042964">
        <w:rPr>
          <w:rFonts w:ascii="Arial" w:hAnsi="Arial" w:cs="Arial"/>
          <w:b/>
        </w:rPr>
        <w:t xml:space="preserve"> </w:t>
      </w:r>
      <w:r w:rsidR="00541FE4" w:rsidRPr="00FA5E51">
        <w:rPr>
          <w:rFonts w:ascii="Arial" w:hAnsi="Arial" w:cs="Arial"/>
          <w:b/>
        </w:rPr>
        <w:t xml:space="preserve">2024 </w:t>
      </w:r>
      <w:r w:rsidR="00FA5E51">
        <w:rPr>
          <w:rFonts w:ascii="Arial" w:hAnsi="Arial" w:cs="Arial"/>
          <w:b/>
        </w:rPr>
        <w:t>y</w:t>
      </w:r>
      <w:r w:rsidR="00541FE4" w:rsidRPr="00FA5E51">
        <w:rPr>
          <w:rFonts w:ascii="Arial" w:hAnsi="Arial" w:cs="Arial"/>
          <w:b/>
        </w:rPr>
        <w:t xml:space="preserve"> art. 27.3 </w:t>
      </w:r>
      <w:r w:rsidR="00DC1DAE">
        <w:rPr>
          <w:rFonts w:ascii="Arial" w:hAnsi="Arial" w:cs="Arial"/>
          <w:b/>
        </w:rPr>
        <w:t>RDL</w:t>
      </w:r>
      <w:r w:rsidR="00541FE4" w:rsidRPr="00FA5E51">
        <w:rPr>
          <w:rFonts w:ascii="Arial" w:hAnsi="Arial" w:cs="Arial"/>
          <w:b/>
        </w:rPr>
        <w:t xml:space="preserve"> 8/2023</w:t>
      </w:r>
      <w:r w:rsidRPr="00FA5E51">
        <w:rPr>
          <w:rFonts w:ascii="Arial" w:hAnsi="Arial" w:cs="Arial"/>
          <w:b/>
        </w:rPr>
        <w:t xml:space="preserve">) </w:t>
      </w:r>
    </w:p>
    <w:p w:rsidR="00295FCC" w:rsidRPr="00E30FF9" w:rsidRDefault="009D6E73" w:rsidP="00FA5E51">
      <w:pPr>
        <w:spacing w:after="120" w:line="250" w:lineRule="auto"/>
        <w:ind w:left="11" w:right="0" w:firstLine="556"/>
        <w:rPr>
          <w:rFonts w:ascii="Arial" w:hAnsi="Arial" w:cs="Arial"/>
        </w:rPr>
      </w:pPr>
      <w:r w:rsidRPr="00E30FF9">
        <w:rPr>
          <w:rFonts w:ascii="Arial" w:hAnsi="Arial" w:cs="Arial"/>
        </w:rPr>
        <w:t xml:space="preserve"> </w:t>
      </w:r>
      <w:r w:rsidR="00FA5E51">
        <w:rPr>
          <w:rFonts w:ascii="Arial" w:hAnsi="Arial" w:cs="Arial"/>
        </w:rPr>
        <w:tab/>
        <w:t xml:space="preserve">1.- </w:t>
      </w:r>
      <w:r w:rsidRPr="00E30FF9">
        <w:rPr>
          <w:rFonts w:ascii="Arial" w:hAnsi="Arial" w:cs="Arial"/>
        </w:rPr>
        <w:t>Cuando por circunstancias relativas a la emisión de los padrones no se pueda liquidar el Impuesto sobre Bienes Inmuebles antes del 1 de agosto del año 202</w:t>
      </w:r>
      <w:r w:rsidR="00680476" w:rsidRPr="00E30FF9">
        <w:rPr>
          <w:rFonts w:ascii="Arial" w:hAnsi="Arial" w:cs="Arial"/>
        </w:rPr>
        <w:t>4</w:t>
      </w:r>
      <w:r w:rsidRPr="00E30FF9">
        <w:rPr>
          <w:rFonts w:ascii="Arial" w:hAnsi="Arial" w:cs="Arial"/>
        </w:rPr>
        <w:t xml:space="preserve">, los ayuntamientos afectados podrán percibir del Tesoro Público anticipos a cuenta del mencionado impuesto, a fin de salvaguardar sus necesidades mínimas de tesorería, previa autorización del Pleno de la respectiva </w:t>
      </w:r>
      <w:r w:rsidR="00D44133">
        <w:rPr>
          <w:rFonts w:ascii="Arial" w:hAnsi="Arial" w:cs="Arial"/>
        </w:rPr>
        <w:t>C</w:t>
      </w:r>
      <w:r w:rsidRPr="00E30FF9">
        <w:rPr>
          <w:rFonts w:ascii="Arial" w:hAnsi="Arial" w:cs="Arial"/>
        </w:rPr>
        <w:t xml:space="preserve">orporación. </w:t>
      </w:r>
    </w:p>
    <w:p w:rsidR="00295FCC" w:rsidRPr="00E30FF9" w:rsidRDefault="00FA5E51" w:rsidP="00FA5E51">
      <w:pPr>
        <w:spacing w:after="120" w:line="250" w:lineRule="auto"/>
        <w:ind w:left="11" w:right="0" w:firstLine="556"/>
        <w:rPr>
          <w:rFonts w:ascii="Arial" w:hAnsi="Arial" w:cs="Arial"/>
        </w:rPr>
      </w:pPr>
      <w:r>
        <w:rPr>
          <w:rFonts w:ascii="Arial" w:hAnsi="Arial" w:cs="Arial"/>
        </w:rPr>
        <w:tab/>
      </w:r>
      <w:r w:rsidR="009D6E73" w:rsidRPr="00E30FF9">
        <w:rPr>
          <w:rFonts w:ascii="Arial" w:hAnsi="Arial" w:cs="Arial"/>
        </w:rPr>
        <w:t>En la tramitación de los expedientes se tendrán en cuenta los condicionamientos que se establecen en el artículo 114. Uno de la LPGE</w:t>
      </w:r>
      <w:r w:rsidR="00042964">
        <w:rPr>
          <w:rFonts w:ascii="Arial" w:hAnsi="Arial" w:cs="Arial"/>
        </w:rPr>
        <w:t>-</w:t>
      </w:r>
      <w:r w:rsidR="00680476" w:rsidRPr="00E30FF9">
        <w:rPr>
          <w:rFonts w:ascii="Arial" w:hAnsi="Arial" w:cs="Arial"/>
        </w:rPr>
        <w:t>P</w:t>
      </w:r>
      <w:r w:rsidR="00042964">
        <w:rPr>
          <w:rFonts w:ascii="Arial" w:hAnsi="Arial" w:cs="Arial"/>
        </w:rPr>
        <w:t xml:space="preserve"> </w:t>
      </w:r>
      <w:r w:rsidR="00680476" w:rsidRPr="00E30FF9">
        <w:rPr>
          <w:rFonts w:ascii="Arial" w:hAnsi="Arial" w:cs="Arial"/>
        </w:rPr>
        <w:t>2024</w:t>
      </w:r>
      <w:r w:rsidR="009D6E73" w:rsidRPr="00E30FF9">
        <w:rPr>
          <w:rFonts w:ascii="Arial" w:hAnsi="Arial" w:cs="Arial"/>
        </w:rPr>
        <w:t xml:space="preserve"> </w:t>
      </w:r>
    </w:p>
    <w:p w:rsidR="00295FCC" w:rsidRPr="00E30FF9" w:rsidRDefault="009D6E73" w:rsidP="00625181">
      <w:pPr>
        <w:spacing w:after="360" w:line="250" w:lineRule="auto"/>
        <w:ind w:left="11" w:right="0" w:firstLine="556"/>
        <w:rPr>
          <w:rFonts w:ascii="Arial" w:hAnsi="Arial" w:cs="Arial"/>
        </w:rPr>
      </w:pPr>
      <w:r w:rsidRPr="00E30FF9">
        <w:rPr>
          <w:rFonts w:ascii="Arial" w:hAnsi="Arial" w:cs="Arial"/>
        </w:rPr>
        <w:t xml:space="preserve"> </w:t>
      </w:r>
      <w:r w:rsidR="00FA5E51">
        <w:rPr>
          <w:rFonts w:ascii="Arial" w:hAnsi="Arial" w:cs="Arial"/>
        </w:rPr>
        <w:tab/>
      </w:r>
      <w:r w:rsidRPr="00E30FF9">
        <w:rPr>
          <w:rFonts w:ascii="Arial" w:hAnsi="Arial" w:cs="Arial"/>
        </w:rPr>
        <w:t>2.-</w:t>
      </w:r>
      <w:r w:rsidR="00FA5E51">
        <w:rPr>
          <w:rFonts w:ascii="Arial" w:hAnsi="Arial" w:cs="Arial"/>
        </w:rPr>
        <w:t xml:space="preserve"> </w:t>
      </w:r>
      <w:r w:rsidRPr="00E30FF9">
        <w:rPr>
          <w:rFonts w:ascii="Arial" w:hAnsi="Arial" w:cs="Arial"/>
        </w:rPr>
        <w:t xml:space="preserve">Mediante resolución de la Secretaría General de Financiación Autonómica y Local se podrán conceder a los Ayuntamientos, en caso de urgente y extraordinaria necesidad de tesorería, anticipos a reintegrar dentro del ejercicio corriente con cargo a su </w:t>
      </w:r>
      <w:r w:rsidR="000F1A5B">
        <w:rPr>
          <w:rFonts w:ascii="Arial" w:hAnsi="Arial" w:cs="Arial"/>
        </w:rPr>
        <w:t>Participación en los Tributos del Estado</w:t>
      </w:r>
      <w:r w:rsidRPr="00E30FF9">
        <w:rPr>
          <w:rFonts w:ascii="Arial" w:hAnsi="Arial" w:cs="Arial"/>
        </w:rPr>
        <w:t xml:space="preserve">. Para la concesión de estos anticipos se deberán cumplir los requisitos del artículo 114. Dos </w:t>
      </w:r>
      <w:r w:rsidR="00042964">
        <w:rPr>
          <w:rFonts w:ascii="Arial" w:hAnsi="Arial" w:cs="Arial"/>
        </w:rPr>
        <w:t>LPGE-P 2024</w:t>
      </w:r>
      <w:r w:rsidRPr="00E30FF9">
        <w:rPr>
          <w:rFonts w:ascii="Arial" w:hAnsi="Arial" w:cs="Arial"/>
        </w:rPr>
        <w:t xml:space="preserve">.  </w:t>
      </w:r>
    </w:p>
    <w:p w:rsidR="00295FCC" w:rsidRPr="00FA5E51" w:rsidRDefault="009D6E73" w:rsidP="00EA7D26">
      <w:pPr>
        <w:pStyle w:val="Prrafodelista"/>
        <w:numPr>
          <w:ilvl w:val="0"/>
          <w:numId w:val="13"/>
        </w:numPr>
        <w:spacing w:after="120" w:line="250" w:lineRule="auto"/>
        <w:ind w:left="624" w:right="0" w:hanging="624"/>
        <w:contextualSpacing w:val="0"/>
        <w:rPr>
          <w:rFonts w:ascii="Arial" w:hAnsi="Arial" w:cs="Arial"/>
          <w:b/>
        </w:rPr>
      </w:pPr>
      <w:r w:rsidRPr="00FA5E51">
        <w:rPr>
          <w:rFonts w:ascii="Arial" w:hAnsi="Arial" w:cs="Arial"/>
          <w:b/>
        </w:rPr>
        <w:t>INFORMACION A SUMINISTRAR POR LAS CORPORACIONES</w:t>
      </w:r>
      <w:r w:rsidR="00FA5E51">
        <w:rPr>
          <w:rFonts w:ascii="Arial" w:hAnsi="Arial" w:cs="Arial"/>
          <w:b/>
        </w:rPr>
        <w:t xml:space="preserve"> </w:t>
      </w:r>
      <w:r w:rsidRPr="00FA5E51">
        <w:rPr>
          <w:rFonts w:ascii="Arial" w:hAnsi="Arial" w:cs="Arial"/>
          <w:b/>
        </w:rPr>
        <w:t>LOCALES (art.116 LPGE</w:t>
      </w:r>
      <w:r w:rsidR="00D44133">
        <w:rPr>
          <w:rFonts w:ascii="Arial" w:hAnsi="Arial" w:cs="Arial"/>
          <w:b/>
        </w:rPr>
        <w:t>-P</w:t>
      </w:r>
      <w:r w:rsidRPr="00FA5E51">
        <w:rPr>
          <w:rFonts w:ascii="Arial" w:hAnsi="Arial" w:cs="Arial"/>
          <w:b/>
        </w:rPr>
        <w:t xml:space="preserve"> 202</w:t>
      </w:r>
      <w:r w:rsidR="00D44133">
        <w:rPr>
          <w:rFonts w:ascii="Arial" w:hAnsi="Arial" w:cs="Arial"/>
          <w:b/>
        </w:rPr>
        <w:t>4</w:t>
      </w:r>
      <w:r w:rsidR="003268F1" w:rsidRPr="00FA5E51">
        <w:rPr>
          <w:rFonts w:ascii="Arial" w:hAnsi="Arial" w:cs="Arial"/>
          <w:b/>
        </w:rPr>
        <w:t xml:space="preserve"> y art. 27.2 </w:t>
      </w:r>
      <w:r w:rsidR="00DC1DAE">
        <w:rPr>
          <w:rFonts w:ascii="Arial" w:hAnsi="Arial" w:cs="Arial"/>
          <w:b/>
        </w:rPr>
        <w:t>RDL</w:t>
      </w:r>
      <w:r w:rsidR="003268F1" w:rsidRPr="00FA5E51">
        <w:rPr>
          <w:rFonts w:ascii="Arial" w:hAnsi="Arial" w:cs="Arial"/>
          <w:b/>
        </w:rPr>
        <w:t xml:space="preserve"> 8/2023</w:t>
      </w:r>
      <w:r w:rsidRPr="00FA5E51">
        <w:rPr>
          <w:rFonts w:ascii="Arial" w:hAnsi="Arial" w:cs="Arial"/>
          <w:b/>
        </w:rPr>
        <w:t xml:space="preserve">) </w:t>
      </w:r>
    </w:p>
    <w:p w:rsidR="001954DA" w:rsidRDefault="009D6E73" w:rsidP="00625181">
      <w:pPr>
        <w:spacing w:after="120" w:line="250" w:lineRule="auto"/>
        <w:ind w:left="0" w:right="0" w:firstLine="567"/>
        <w:rPr>
          <w:rFonts w:ascii="Arial" w:hAnsi="Arial" w:cs="Arial"/>
        </w:rPr>
      </w:pPr>
      <w:r w:rsidRPr="00E30FF9">
        <w:rPr>
          <w:rFonts w:ascii="Arial" w:hAnsi="Arial" w:cs="Arial"/>
        </w:rPr>
        <w:t xml:space="preserve"> Con el fin de proceder a la liquidación definitiva de la participación de los Ayuntamientos en los tributos del Estado, correspondiente a 202</w:t>
      </w:r>
      <w:r w:rsidR="00B046AD" w:rsidRPr="00E30FF9">
        <w:rPr>
          <w:rFonts w:ascii="Arial" w:hAnsi="Arial" w:cs="Arial"/>
        </w:rPr>
        <w:t>4</w:t>
      </w:r>
      <w:r w:rsidRPr="00E30FF9">
        <w:rPr>
          <w:rFonts w:ascii="Arial" w:hAnsi="Arial" w:cs="Arial"/>
        </w:rPr>
        <w:t xml:space="preserve"> las respectivas Corporaciones </w:t>
      </w:r>
      <w:r w:rsidR="005664A5">
        <w:rPr>
          <w:rFonts w:ascii="Arial" w:hAnsi="Arial" w:cs="Arial"/>
        </w:rPr>
        <w:t>L</w:t>
      </w:r>
      <w:r w:rsidRPr="00E30FF9">
        <w:rPr>
          <w:rFonts w:ascii="Arial" w:hAnsi="Arial" w:cs="Arial"/>
        </w:rPr>
        <w:t>ocales deberán facilitar, antes del 30 de junio del año 202</w:t>
      </w:r>
      <w:r w:rsidR="005664A5">
        <w:rPr>
          <w:rFonts w:ascii="Arial" w:hAnsi="Arial" w:cs="Arial"/>
        </w:rPr>
        <w:t>4</w:t>
      </w:r>
      <w:r w:rsidRPr="00E30FF9">
        <w:rPr>
          <w:rFonts w:ascii="Arial" w:hAnsi="Arial" w:cs="Arial"/>
        </w:rPr>
        <w:t xml:space="preserve">, en la forma que se determine por los órganos competentes del Ministerio de Hacienda, la documentación del art. 116 </w:t>
      </w:r>
      <w:r w:rsidR="00042964">
        <w:rPr>
          <w:rFonts w:ascii="Arial" w:hAnsi="Arial" w:cs="Arial"/>
        </w:rPr>
        <w:t>LPGE-P 2024</w:t>
      </w:r>
      <w:r w:rsidRPr="00E30FF9">
        <w:rPr>
          <w:rFonts w:ascii="Arial" w:hAnsi="Arial" w:cs="Arial"/>
        </w:rPr>
        <w:t>.</w:t>
      </w:r>
    </w:p>
    <w:p w:rsidR="00295FCC" w:rsidRPr="00E30FF9" w:rsidRDefault="009D6E73" w:rsidP="005664A5">
      <w:pPr>
        <w:spacing w:after="120" w:line="250" w:lineRule="auto"/>
        <w:ind w:left="0" w:right="0" w:firstLine="567"/>
        <w:rPr>
          <w:rFonts w:ascii="Arial" w:hAnsi="Arial" w:cs="Arial"/>
        </w:rPr>
      </w:pPr>
      <w:r w:rsidRPr="00E30FF9">
        <w:rPr>
          <w:rFonts w:ascii="Arial" w:hAnsi="Arial" w:cs="Arial"/>
        </w:rPr>
        <w:t xml:space="preserve">  La documentación se transmitirá electrónicamente en los modelos habilitados para tal fin, mediante firma electrónica del Interventor o, en su caso, del titular del órgano de la Corporación </w:t>
      </w:r>
      <w:r w:rsidR="005664A5">
        <w:rPr>
          <w:rFonts w:ascii="Arial" w:hAnsi="Arial" w:cs="Arial"/>
        </w:rPr>
        <w:t>L</w:t>
      </w:r>
      <w:r w:rsidRPr="00E30FF9">
        <w:rPr>
          <w:rFonts w:ascii="Arial" w:hAnsi="Arial" w:cs="Arial"/>
        </w:rPr>
        <w:t xml:space="preserve">ocal que tenga atribuida la función de contabilidad. </w:t>
      </w:r>
    </w:p>
    <w:p w:rsidR="006146AF" w:rsidRDefault="006146AF" w:rsidP="00C710F1">
      <w:pPr>
        <w:spacing w:after="480" w:line="250" w:lineRule="auto"/>
        <w:ind w:left="11" w:right="0" w:firstLine="567"/>
        <w:rPr>
          <w:rFonts w:ascii="Arial" w:hAnsi="Arial" w:cs="Arial"/>
        </w:rPr>
      </w:pPr>
    </w:p>
    <w:p w:rsidR="006146AF" w:rsidRDefault="006146AF" w:rsidP="00C710F1">
      <w:pPr>
        <w:spacing w:after="480" w:line="250" w:lineRule="auto"/>
        <w:ind w:left="11" w:right="0" w:firstLine="567"/>
        <w:rPr>
          <w:rFonts w:ascii="Arial" w:hAnsi="Arial" w:cs="Arial"/>
        </w:rPr>
      </w:pPr>
    </w:p>
    <w:p w:rsidR="00295FCC" w:rsidRDefault="009D6E73" w:rsidP="006146AF">
      <w:pPr>
        <w:spacing w:after="480" w:line="250" w:lineRule="auto"/>
        <w:ind w:left="11" w:right="0" w:firstLine="567"/>
        <w:rPr>
          <w:rFonts w:ascii="Arial" w:hAnsi="Arial" w:cs="Arial"/>
        </w:rPr>
      </w:pPr>
      <w:r w:rsidRPr="00E30FF9">
        <w:rPr>
          <w:rFonts w:ascii="Arial" w:hAnsi="Arial" w:cs="Arial"/>
        </w:rPr>
        <w:t xml:space="preserve">A los municipios que no aportaran la documentación se les aplicará, a efectos de practicar la liquidación definitiva de su </w:t>
      </w:r>
      <w:r w:rsidR="000F1A5B">
        <w:rPr>
          <w:rFonts w:ascii="Arial" w:hAnsi="Arial" w:cs="Arial"/>
        </w:rPr>
        <w:t>Participación en los Tributos del Estado</w:t>
      </w:r>
      <w:r w:rsidRPr="00E30FF9">
        <w:rPr>
          <w:rFonts w:ascii="Arial" w:hAnsi="Arial" w:cs="Arial"/>
        </w:rPr>
        <w:t xml:space="preserve"> para el año 202</w:t>
      </w:r>
      <w:r w:rsidR="00F07DC8" w:rsidRPr="00E30FF9">
        <w:rPr>
          <w:rFonts w:ascii="Arial" w:hAnsi="Arial" w:cs="Arial"/>
        </w:rPr>
        <w:t>4</w:t>
      </w:r>
      <w:r w:rsidRPr="00E30FF9">
        <w:rPr>
          <w:rFonts w:ascii="Arial" w:hAnsi="Arial" w:cs="Arial"/>
        </w:rPr>
        <w:t>,</w:t>
      </w:r>
      <w:r w:rsidR="00C710F1">
        <w:rPr>
          <w:rFonts w:ascii="Arial" w:hAnsi="Arial" w:cs="Arial"/>
        </w:rPr>
        <w:t xml:space="preserve"> </w:t>
      </w:r>
      <w:r w:rsidRPr="00E30FF9">
        <w:rPr>
          <w:rFonts w:ascii="Arial" w:hAnsi="Arial" w:cs="Arial"/>
        </w:rPr>
        <w:t xml:space="preserve">un módulo de ponderación equivalente al 60 por ciento del esfuerzo fiscal medio aplicable al municipio con menor coeficiente por este concepto, dentro del tramo de población en que se encuadre. </w:t>
      </w: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04"/>
      </w:tblGrid>
      <w:tr w:rsidR="00EF36BE" w:rsidTr="005306C2">
        <w:tc>
          <w:tcPr>
            <w:tcW w:w="9204" w:type="dxa"/>
            <w:tcBorders>
              <w:top w:val="single" w:sz="4" w:space="0" w:color="auto"/>
              <w:left w:val="nil"/>
              <w:bottom w:val="single" w:sz="4" w:space="0" w:color="auto"/>
              <w:right w:val="nil"/>
            </w:tcBorders>
            <w:shd w:val="clear" w:color="auto" w:fill="FFFFFF" w:themeFill="background1"/>
          </w:tcPr>
          <w:p w:rsidR="00EF36BE" w:rsidRPr="00E30FF9" w:rsidRDefault="00EF36BE" w:rsidP="00EF36BE">
            <w:pPr>
              <w:spacing w:before="240" w:after="240" w:line="250" w:lineRule="auto"/>
              <w:ind w:left="284" w:right="0" w:hanging="284"/>
              <w:jc w:val="center"/>
              <w:rPr>
                <w:rFonts w:ascii="Arial" w:hAnsi="Arial" w:cs="Arial"/>
              </w:rPr>
            </w:pPr>
            <w:r>
              <w:rPr>
                <w:rFonts w:ascii="Arial" w:hAnsi="Arial" w:cs="Arial"/>
                <w:b/>
                <w:color w:val="auto"/>
                <w:u w:color="0000FF"/>
              </w:rPr>
              <w:t>2</w:t>
            </w:r>
            <w:r w:rsidRPr="00E30FF9">
              <w:rPr>
                <w:rFonts w:ascii="Arial" w:hAnsi="Arial" w:cs="Arial"/>
                <w:b/>
                <w:color w:val="auto"/>
                <w:u w:color="0000FF"/>
              </w:rPr>
              <w:t xml:space="preserve">.- </w:t>
            </w:r>
            <w:r w:rsidRPr="00EF36BE">
              <w:rPr>
                <w:rFonts w:ascii="Arial" w:hAnsi="Arial" w:cs="Arial"/>
                <w:b/>
              </w:rPr>
              <w:t xml:space="preserve">DOTACIÓN ADICIONAL DE RECURSOS PARA INCREMENTAR LA FINANCIACIÓN A LAS ENTIDADES LOCALES, CON MOTIVO DE LOS SALDOS GLOBALES NEGATIVOS DE LAS LIQUIDACIONES DE LA PARTICIPACIÓN EN TRIBUTOS DEL ESTADO RELATIVAS AL </w:t>
            </w:r>
            <w:r>
              <w:rPr>
                <w:rFonts w:ascii="Arial" w:hAnsi="Arial" w:cs="Arial"/>
                <w:b/>
              </w:rPr>
              <w:t>EJERCICIO 2020</w:t>
            </w:r>
            <w:r w:rsidRPr="00EF36BE">
              <w:rPr>
                <w:rFonts w:ascii="Arial" w:hAnsi="Arial" w:cs="Arial"/>
                <w:b/>
              </w:rPr>
              <w:t xml:space="preserve"> (Disposición adicional 82 </w:t>
            </w:r>
            <w:r w:rsidR="00042964">
              <w:rPr>
                <w:rFonts w:ascii="Arial" w:hAnsi="Arial" w:cs="Arial"/>
                <w:b/>
              </w:rPr>
              <w:t>LPGE-P 2024</w:t>
            </w:r>
            <w:r w:rsidRPr="00EF36BE">
              <w:rPr>
                <w:rFonts w:ascii="Arial" w:hAnsi="Arial" w:cs="Arial"/>
                <w:b/>
              </w:rPr>
              <w:t xml:space="preserve"> y Disposición adicional 7ª </w:t>
            </w:r>
            <w:r w:rsidR="00DC1DAE">
              <w:rPr>
                <w:rFonts w:ascii="Arial" w:hAnsi="Arial" w:cs="Arial"/>
                <w:b/>
              </w:rPr>
              <w:t>RDL</w:t>
            </w:r>
            <w:r w:rsidRPr="00EF36BE">
              <w:rPr>
                <w:rFonts w:ascii="Arial" w:hAnsi="Arial" w:cs="Arial"/>
                <w:b/>
              </w:rPr>
              <w:t xml:space="preserve"> 8/2023).</w:t>
            </w:r>
          </w:p>
        </w:tc>
      </w:tr>
    </w:tbl>
    <w:p w:rsidR="00EF36BE" w:rsidRDefault="00EF36BE" w:rsidP="00E30FF9">
      <w:pPr>
        <w:spacing w:line="250" w:lineRule="auto"/>
        <w:ind w:left="11" w:right="0" w:hanging="11"/>
        <w:rPr>
          <w:rFonts w:ascii="Arial" w:hAnsi="Arial" w:cs="Arial"/>
        </w:rPr>
      </w:pPr>
    </w:p>
    <w:p w:rsidR="00295FCC" w:rsidRPr="00E30FF9" w:rsidRDefault="009D6E73" w:rsidP="00EF36BE">
      <w:pPr>
        <w:spacing w:after="120" w:line="250" w:lineRule="auto"/>
        <w:ind w:left="0" w:right="0" w:firstLine="567"/>
        <w:rPr>
          <w:rFonts w:ascii="Arial" w:hAnsi="Arial" w:cs="Arial"/>
        </w:rPr>
      </w:pPr>
      <w:r w:rsidRPr="00E30FF9">
        <w:rPr>
          <w:rFonts w:ascii="Arial" w:hAnsi="Arial" w:cs="Arial"/>
        </w:rPr>
        <w:t xml:space="preserve">Se mantiene la transferencia </w:t>
      </w:r>
      <w:r w:rsidR="00B90916" w:rsidRPr="00E30FF9">
        <w:rPr>
          <w:rFonts w:ascii="Arial" w:hAnsi="Arial" w:cs="Arial"/>
        </w:rPr>
        <w:t xml:space="preserve">extraordinaria </w:t>
      </w:r>
      <w:r w:rsidRPr="00E30FF9">
        <w:rPr>
          <w:rFonts w:ascii="Arial" w:hAnsi="Arial" w:cs="Arial"/>
        </w:rPr>
        <w:t xml:space="preserve">de carácter incondicionado a favor de a las Entidades Locales, con motivo de los saldos globales negativos de las liquidaciones de la participación en tributos del Estado relativas al ejercicio 2020.  </w:t>
      </w:r>
    </w:p>
    <w:p w:rsidR="00295FCC" w:rsidRPr="00E30FF9" w:rsidRDefault="00BA4CF4" w:rsidP="00EF36BE">
      <w:pPr>
        <w:spacing w:after="120" w:line="250" w:lineRule="auto"/>
        <w:ind w:left="0" w:right="0" w:firstLine="567"/>
        <w:rPr>
          <w:rFonts w:ascii="Arial" w:hAnsi="Arial" w:cs="Arial"/>
        </w:rPr>
      </w:pPr>
      <w:r>
        <w:rPr>
          <w:rFonts w:ascii="Arial" w:hAnsi="Arial" w:cs="Arial"/>
        </w:rPr>
        <w:t>Serán p</w:t>
      </w:r>
      <w:r w:rsidR="009D6E73" w:rsidRPr="00E30FF9">
        <w:rPr>
          <w:rFonts w:ascii="Arial" w:hAnsi="Arial" w:cs="Arial"/>
        </w:rPr>
        <w:t>erceptoras</w:t>
      </w:r>
      <w:r>
        <w:rPr>
          <w:rFonts w:ascii="Arial" w:hAnsi="Arial" w:cs="Arial"/>
        </w:rPr>
        <w:t xml:space="preserve"> las</w:t>
      </w:r>
      <w:r w:rsidR="009D6E73" w:rsidRPr="00E30FF9">
        <w:rPr>
          <w:rFonts w:ascii="Arial" w:hAnsi="Arial" w:cs="Arial"/>
        </w:rPr>
        <w:t xml:space="preserve"> entidades que hayan tenido un saldo global de la liquidación de la </w:t>
      </w:r>
      <w:r>
        <w:rPr>
          <w:rFonts w:ascii="Arial" w:hAnsi="Arial" w:cs="Arial"/>
        </w:rPr>
        <w:t xml:space="preserve">participación en tributos </w:t>
      </w:r>
      <w:r w:rsidR="007370F0">
        <w:rPr>
          <w:rFonts w:ascii="Arial" w:hAnsi="Arial" w:cs="Arial"/>
        </w:rPr>
        <w:t>estatales</w:t>
      </w:r>
      <w:r>
        <w:rPr>
          <w:rFonts w:ascii="Arial" w:hAnsi="Arial" w:cs="Arial"/>
        </w:rPr>
        <w:t xml:space="preserve"> </w:t>
      </w:r>
      <w:r w:rsidR="009D6E73" w:rsidRPr="00E30FF9">
        <w:rPr>
          <w:rFonts w:ascii="Arial" w:hAnsi="Arial" w:cs="Arial"/>
        </w:rPr>
        <w:t xml:space="preserve">de 2020 a favor del Estado y a las que se apliquen reintegros en 2023. </w:t>
      </w:r>
    </w:p>
    <w:p w:rsidR="00B90916" w:rsidRPr="00E30FF9" w:rsidRDefault="009D6E73" w:rsidP="00EF36BE">
      <w:pPr>
        <w:spacing w:after="120" w:line="250" w:lineRule="auto"/>
        <w:ind w:left="0" w:right="0" w:firstLine="567"/>
        <w:rPr>
          <w:rFonts w:ascii="Arial" w:hAnsi="Arial" w:cs="Arial"/>
        </w:rPr>
      </w:pPr>
      <w:r w:rsidRPr="00E30FF9">
        <w:rPr>
          <w:rFonts w:ascii="Arial" w:hAnsi="Arial" w:cs="Arial"/>
        </w:rPr>
        <w:t>El importe de esta transferencia ascenderá a la cuantía que deba reintegrarse en 202</w:t>
      </w:r>
      <w:r w:rsidR="00B90916" w:rsidRPr="00E30FF9">
        <w:rPr>
          <w:rFonts w:ascii="Arial" w:hAnsi="Arial" w:cs="Arial"/>
        </w:rPr>
        <w:t>4</w:t>
      </w:r>
      <w:r w:rsidRPr="00E30FF9">
        <w:rPr>
          <w:rFonts w:ascii="Arial" w:hAnsi="Arial" w:cs="Arial"/>
        </w:rPr>
        <w:t xml:space="preserve"> por este concepto.</w:t>
      </w:r>
    </w:p>
    <w:p w:rsidR="00EF36BE" w:rsidRDefault="009D6E73" w:rsidP="00260FDA">
      <w:pPr>
        <w:spacing w:after="120" w:line="250" w:lineRule="auto"/>
        <w:ind w:left="11" w:right="0" w:firstLine="567"/>
        <w:rPr>
          <w:rFonts w:ascii="Arial" w:hAnsi="Arial" w:cs="Arial"/>
        </w:rPr>
      </w:pPr>
      <w:r w:rsidRPr="00E30FF9">
        <w:rPr>
          <w:rFonts w:ascii="Arial" w:hAnsi="Arial" w:cs="Arial"/>
        </w:rPr>
        <w:t xml:space="preserve">  Se compensarán en un acto único y por idéntico importe los reintegros que se deban aplicar en 202</w:t>
      </w:r>
      <w:r w:rsidR="00B90916" w:rsidRPr="00E30FF9">
        <w:rPr>
          <w:rFonts w:ascii="Arial" w:hAnsi="Arial" w:cs="Arial"/>
        </w:rPr>
        <w:t>4</w:t>
      </w:r>
      <w:r w:rsidRPr="00E30FF9">
        <w:rPr>
          <w:rFonts w:ascii="Arial" w:hAnsi="Arial" w:cs="Arial"/>
        </w:rPr>
        <w:t xml:space="preserve">, sin que se reembolse cuantía alguna con cargo a las entregas a cuenta mensuales. </w:t>
      </w:r>
    </w:p>
    <w:p w:rsidR="00260FDA" w:rsidRDefault="00260FDA" w:rsidP="00EF36BE">
      <w:pPr>
        <w:spacing w:after="480" w:line="250" w:lineRule="auto"/>
        <w:ind w:left="11" w:right="0" w:firstLine="567"/>
        <w:rPr>
          <w:rFonts w:ascii="Arial" w:hAnsi="Arial" w:cs="Arial"/>
        </w:rPr>
      </w:pPr>
      <w:r>
        <w:rPr>
          <w:rFonts w:ascii="Arial" w:hAnsi="Arial" w:cs="Arial"/>
        </w:rPr>
        <w:t xml:space="preserve">Como también indica la Nota de Prensa del Ministerio de Hacienda </w:t>
      </w:r>
      <w:r w:rsidR="00A76E21">
        <w:rPr>
          <w:rFonts w:ascii="Arial" w:hAnsi="Arial" w:cs="Arial"/>
        </w:rPr>
        <w:t xml:space="preserve">y </w:t>
      </w:r>
      <w:r>
        <w:rPr>
          <w:rFonts w:ascii="Arial" w:hAnsi="Arial" w:cs="Arial"/>
        </w:rPr>
        <w:t xml:space="preserve">Función Pública a la que nos hemos referido más arriba, esta </w:t>
      </w:r>
      <w:r w:rsidR="00A76E21">
        <w:rPr>
          <w:rFonts w:ascii="Arial" w:hAnsi="Arial" w:cs="Arial"/>
        </w:rPr>
        <w:t>dotación adicional</w:t>
      </w:r>
      <w:r>
        <w:rPr>
          <w:rFonts w:ascii="Arial" w:hAnsi="Arial" w:cs="Arial"/>
        </w:rPr>
        <w:t xml:space="preserve"> que se viene aplicando desde 2022, implicará que en 2024 se reintegrarán a las Entidades Locales un total de 759 millones de euros. Con el pago de este importe se daría por concluida la medida.</w:t>
      </w: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04"/>
      </w:tblGrid>
      <w:tr w:rsidR="00EF36BE" w:rsidTr="005306C2">
        <w:tc>
          <w:tcPr>
            <w:tcW w:w="9204" w:type="dxa"/>
            <w:tcBorders>
              <w:top w:val="single" w:sz="4" w:space="0" w:color="auto"/>
              <w:left w:val="nil"/>
              <w:bottom w:val="single" w:sz="4" w:space="0" w:color="auto"/>
              <w:right w:val="nil"/>
            </w:tcBorders>
            <w:shd w:val="clear" w:color="auto" w:fill="FFFFFF" w:themeFill="background1"/>
          </w:tcPr>
          <w:p w:rsidR="00EF36BE" w:rsidRPr="00E30FF9" w:rsidRDefault="00EF36BE" w:rsidP="004F1459">
            <w:pPr>
              <w:spacing w:before="240" w:after="240" w:line="250" w:lineRule="auto"/>
              <w:ind w:left="0" w:right="0" w:firstLine="0"/>
              <w:jc w:val="center"/>
              <w:rPr>
                <w:rFonts w:ascii="Arial" w:hAnsi="Arial" w:cs="Arial"/>
              </w:rPr>
            </w:pPr>
            <w:r>
              <w:rPr>
                <w:rFonts w:ascii="Arial" w:hAnsi="Arial" w:cs="Arial"/>
                <w:b/>
                <w:color w:val="auto"/>
                <w:u w:color="0000FF"/>
              </w:rPr>
              <w:t>3</w:t>
            </w:r>
            <w:r w:rsidRPr="00E30FF9">
              <w:rPr>
                <w:rFonts w:ascii="Arial" w:hAnsi="Arial" w:cs="Arial"/>
                <w:b/>
                <w:color w:val="auto"/>
                <w:u w:color="0000FF"/>
              </w:rPr>
              <w:t xml:space="preserve">.- </w:t>
            </w:r>
            <w:r>
              <w:rPr>
                <w:rFonts w:ascii="Arial" w:hAnsi="Arial" w:cs="Arial"/>
                <w:b/>
                <w:color w:val="auto"/>
                <w:u w:color="0000FF"/>
              </w:rPr>
              <w:t>TRIBUTOS LOCALES</w:t>
            </w:r>
          </w:p>
        </w:tc>
      </w:tr>
    </w:tbl>
    <w:p w:rsidR="00295FCC" w:rsidRPr="00E30FF9" w:rsidRDefault="009D6E73" w:rsidP="00E30FF9">
      <w:pPr>
        <w:spacing w:line="250" w:lineRule="auto"/>
        <w:ind w:left="11" w:right="0" w:hanging="11"/>
        <w:rPr>
          <w:rFonts w:ascii="Arial" w:hAnsi="Arial" w:cs="Arial"/>
        </w:rPr>
      </w:pPr>
      <w:r w:rsidRPr="00E30FF9">
        <w:rPr>
          <w:rFonts w:ascii="Arial" w:hAnsi="Arial" w:cs="Arial"/>
        </w:rPr>
        <w:t xml:space="preserve"> </w:t>
      </w:r>
    </w:p>
    <w:p w:rsidR="00295FCC" w:rsidRPr="006B1B9C" w:rsidRDefault="009D6E73" w:rsidP="00B84C88">
      <w:pPr>
        <w:spacing w:after="120" w:line="250" w:lineRule="auto"/>
        <w:ind w:left="11" w:right="0" w:firstLine="556"/>
        <w:rPr>
          <w:rFonts w:ascii="Arial" w:hAnsi="Arial" w:cs="Arial"/>
          <w:b/>
        </w:rPr>
      </w:pPr>
      <w:r w:rsidRPr="006B1B9C">
        <w:rPr>
          <w:rFonts w:ascii="Arial" w:hAnsi="Arial" w:cs="Arial"/>
          <w:b/>
        </w:rPr>
        <w:t>A</w:t>
      </w:r>
      <w:r w:rsidR="00EF36BE" w:rsidRPr="006B1B9C">
        <w:rPr>
          <w:rFonts w:ascii="Arial" w:hAnsi="Arial" w:cs="Arial"/>
          <w:b/>
        </w:rPr>
        <w:t xml:space="preserve">ctualización de los coeficientes máximos a aplicar sobre el valor de los terrenos a que se refiere el </w:t>
      </w:r>
      <w:r w:rsidR="006B1B9C">
        <w:rPr>
          <w:rFonts w:ascii="Arial" w:hAnsi="Arial" w:cs="Arial"/>
          <w:b/>
        </w:rPr>
        <w:t xml:space="preserve">art. </w:t>
      </w:r>
      <w:r w:rsidR="00EF36BE" w:rsidRPr="006B1B9C">
        <w:rPr>
          <w:rFonts w:ascii="Arial" w:hAnsi="Arial" w:cs="Arial"/>
          <w:b/>
        </w:rPr>
        <w:t>107.4 del Texto</w:t>
      </w:r>
      <w:r w:rsidR="006B1B9C">
        <w:rPr>
          <w:rFonts w:ascii="Arial" w:hAnsi="Arial" w:cs="Arial"/>
          <w:b/>
        </w:rPr>
        <w:t xml:space="preserve"> </w:t>
      </w:r>
      <w:r w:rsidR="00EF36BE" w:rsidRPr="006B1B9C">
        <w:rPr>
          <w:rFonts w:ascii="Arial" w:hAnsi="Arial" w:cs="Arial"/>
          <w:b/>
        </w:rPr>
        <w:t xml:space="preserve">Refundido </w:t>
      </w:r>
      <w:r w:rsidR="006B1B9C">
        <w:rPr>
          <w:rFonts w:ascii="Arial" w:hAnsi="Arial" w:cs="Arial"/>
          <w:b/>
        </w:rPr>
        <w:t>de la Ley R</w:t>
      </w:r>
      <w:r w:rsidR="00EF36BE" w:rsidRPr="006B1B9C">
        <w:rPr>
          <w:rFonts w:ascii="Arial" w:hAnsi="Arial" w:cs="Arial"/>
          <w:b/>
        </w:rPr>
        <w:t>eguladora de las</w:t>
      </w:r>
      <w:r w:rsidR="006B1B9C">
        <w:rPr>
          <w:rFonts w:ascii="Arial" w:hAnsi="Arial" w:cs="Arial"/>
          <w:b/>
        </w:rPr>
        <w:t xml:space="preserve"> </w:t>
      </w:r>
      <w:r w:rsidR="00EF36BE" w:rsidRPr="006B1B9C">
        <w:rPr>
          <w:rFonts w:ascii="Arial" w:hAnsi="Arial" w:cs="Arial"/>
          <w:b/>
        </w:rPr>
        <w:t xml:space="preserve">Haciendas </w:t>
      </w:r>
      <w:r w:rsidR="006B1B9C">
        <w:rPr>
          <w:rFonts w:ascii="Arial" w:hAnsi="Arial" w:cs="Arial"/>
          <w:b/>
        </w:rPr>
        <w:t>Locales</w:t>
      </w:r>
      <w:r w:rsidR="00EF36BE" w:rsidRPr="006B1B9C">
        <w:rPr>
          <w:rFonts w:ascii="Arial" w:hAnsi="Arial" w:cs="Arial"/>
          <w:b/>
        </w:rPr>
        <w:t xml:space="preserve"> en relación con el Impuesto sobre el Incremento de Valor de los Terrenos de Naturaleza Urbana (art. </w:t>
      </w:r>
      <w:r w:rsidRPr="006B1B9C">
        <w:rPr>
          <w:rFonts w:ascii="Arial" w:hAnsi="Arial" w:cs="Arial"/>
          <w:b/>
        </w:rPr>
        <w:t xml:space="preserve">71 </w:t>
      </w:r>
      <w:r w:rsidR="00042964">
        <w:rPr>
          <w:rFonts w:ascii="Arial" w:hAnsi="Arial" w:cs="Arial"/>
          <w:b/>
        </w:rPr>
        <w:t>LPGE-P 2024</w:t>
      </w:r>
      <w:r w:rsidR="00B90916" w:rsidRPr="006B1B9C">
        <w:rPr>
          <w:rFonts w:ascii="Arial" w:hAnsi="Arial" w:cs="Arial"/>
          <w:b/>
        </w:rPr>
        <w:t xml:space="preserve"> y art. 24 </w:t>
      </w:r>
      <w:r w:rsidR="00DC1DAE">
        <w:rPr>
          <w:rFonts w:ascii="Arial" w:hAnsi="Arial" w:cs="Arial"/>
          <w:b/>
        </w:rPr>
        <w:t>RDL</w:t>
      </w:r>
      <w:r w:rsidR="00B90916" w:rsidRPr="006B1B9C">
        <w:rPr>
          <w:rFonts w:ascii="Arial" w:hAnsi="Arial" w:cs="Arial"/>
          <w:b/>
        </w:rPr>
        <w:t xml:space="preserve"> 8/2023</w:t>
      </w:r>
      <w:r w:rsidR="00F51F70" w:rsidRPr="006B1B9C">
        <w:rPr>
          <w:rFonts w:ascii="Arial" w:hAnsi="Arial" w:cs="Arial"/>
          <w:b/>
        </w:rPr>
        <w:t>)</w:t>
      </w:r>
    </w:p>
    <w:p w:rsidR="00A16FD0" w:rsidRDefault="00A16FD0" w:rsidP="008A728B">
      <w:pPr>
        <w:spacing w:after="120" w:line="250" w:lineRule="auto"/>
        <w:ind w:left="11" w:right="0" w:firstLine="556"/>
        <w:rPr>
          <w:rFonts w:ascii="Arial" w:hAnsi="Arial" w:cs="Arial"/>
        </w:rPr>
      </w:pPr>
      <w:r w:rsidRPr="00E30FF9">
        <w:rPr>
          <w:rFonts w:ascii="Arial" w:hAnsi="Arial" w:cs="Arial"/>
        </w:rPr>
        <w:t>Se actualizan los importes máximos de los coeficientes a aplicar sobre el valor del terreno en el momento de devengo, según el periodo de generación del incremento de valor, a que se refiere el apartado 4 del artículo 107 del texto refundido de la Ley Reguladora de las Haciendas Locales, aprobado por el Real Decreto Legislativo 2/2004, de 5 de marzo, y que serán los siguientes:</w:t>
      </w:r>
    </w:p>
    <w:p w:rsidR="006D1668" w:rsidRDefault="006D1668" w:rsidP="008A728B">
      <w:pPr>
        <w:spacing w:after="120" w:line="250" w:lineRule="auto"/>
        <w:ind w:left="11" w:right="0" w:firstLine="556"/>
        <w:rPr>
          <w:rFonts w:ascii="Arial" w:hAnsi="Arial" w:cs="Arial"/>
        </w:rPr>
      </w:pPr>
    </w:p>
    <w:p w:rsidR="006D1668" w:rsidRDefault="006D1668" w:rsidP="008A728B">
      <w:pPr>
        <w:spacing w:after="120" w:line="250" w:lineRule="auto"/>
        <w:ind w:left="11" w:right="0" w:firstLine="556"/>
        <w:rPr>
          <w:rFonts w:ascii="Arial" w:hAnsi="Arial" w:cs="Arial"/>
        </w:rPr>
      </w:pPr>
    </w:p>
    <w:p w:rsidR="006D1668" w:rsidRPr="00E30FF9" w:rsidRDefault="006D1668" w:rsidP="008A728B">
      <w:pPr>
        <w:spacing w:after="120" w:line="250" w:lineRule="auto"/>
        <w:ind w:left="11" w:right="0" w:firstLine="556"/>
        <w:rPr>
          <w:rFonts w:ascii="Arial" w:hAnsi="Arial" w:cs="Arial"/>
        </w:rPr>
      </w:pPr>
    </w:p>
    <w:tbl>
      <w:tblPr>
        <w:tblpPr w:leftFromText="141" w:rightFromText="141" w:vertAnchor="text" w:horzAnchor="margin" w:tblpXSpec="center" w:tblpY="276"/>
        <w:tblW w:w="0" w:type="auto"/>
        <w:tblCellMar>
          <w:left w:w="0" w:type="dxa"/>
          <w:right w:w="0" w:type="dxa"/>
        </w:tblCellMar>
        <w:tblLook w:val="04A0" w:firstRow="1" w:lastRow="0" w:firstColumn="1" w:lastColumn="0" w:noHBand="0" w:noVBand="1"/>
      </w:tblPr>
      <w:tblGrid>
        <w:gridCol w:w="2736"/>
        <w:gridCol w:w="1378"/>
      </w:tblGrid>
      <w:tr w:rsidR="00A16FD0" w:rsidRPr="00A16FD0" w:rsidTr="00A16FD0">
        <w:trPr>
          <w:tblHeader/>
        </w:trPr>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b/>
                <w:bCs/>
              </w:rPr>
            </w:pPr>
            <w:r w:rsidRPr="00162C53">
              <w:rPr>
                <w:rFonts w:ascii="Arial" w:hAnsi="Arial" w:cs="Arial"/>
                <w:b/>
                <w:bCs/>
              </w:rPr>
              <w:t>Periodo de generación</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rsidR="00A16FD0" w:rsidRPr="00162C53" w:rsidRDefault="00162C53" w:rsidP="00162C53">
            <w:pPr>
              <w:spacing w:after="0" w:line="259" w:lineRule="auto"/>
              <w:ind w:left="0" w:right="0" w:firstLine="0"/>
              <w:jc w:val="center"/>
              <w:rPr>
                <w:rFonts w:ascii="Arial" w:hAnsi="Arial" w:cs="Arial"/>
                <w:b/>
                <w:bCs/>
              </w:rPr>
            </w:pPr>
            <w:r>
              <w:rPr>
                <w:rFonts w:ascii="Arial" w:hAnsi="Arial" w:cs="Arial"/>
                <w:b/>
                <w:bCs/>
              </w:rPr>
              <w:t>Coeficiente</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Inferior a 1 año.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0,15</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 año.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0,15</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2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0,14</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3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0,14</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4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0,16</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5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0,18</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6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0,19</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7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0,20</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8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0,19</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9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0,15</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10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0,12</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11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0,10</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12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0,09</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13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0,09</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14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0,09</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15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0,09</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16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0,10</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17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0,13</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18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0,17</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19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0,23</w:t>
            </w:r>
          </w:p>
        </w:tc>
      </w:tr>
      <w:tr w:rsidR="00A16FD0" w:rsidRPr="00A16FD0" w:rsidTr="00A16FD0">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Igual o superior a 20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rsidR="00A16FD0" w:rsidRPr="00162C53" w:rsidRDefault="00A16FD0" w:rsidP="00162C53">
            <w:pPr>
              <w:spacing w:after="0" w:line="259" w:lineRule="auto"/>
              <w:ind w:left="0" w:right="0" w:firstLine="0"/>
              <w:jc w:val="center"/>
              <w:rPr>
                <w:rFonts w:ascii="Arial" w:hAnsi="Arial" w:cs="Arial"/>
              </w:rPr>
            </w:pPr>
            <w:r w:rsidRPr="00162C53">
              <w:rPr>
                <w:rFonts w:ascii="Arial" w:hAnsi="Arial" w:cs="Arial"/>
              </w:rPr>
              <w:t>0,40</w:t>
            </w:r>
          </w:p>
        </w:tc>
      </w:tr>
    </w:tbl>
    <w:p w:rsidR="00295FCC" w:rsidRDefault="009D6E73">
      <w:pPr>
        <w:spacing w:after="0" w:line="259" w:lineRule="auto"/>
        <w:ind w:left="360" w:right="0" w:firstLine="0"/>
        <w:jc w:val="left"/>
        <w:rPr>
          <w:rFonts w:ascii="Calibri" w:eastAsia="Calibri" w:hAnsi="Calibri" w:cs="Calibri"/>
          <w:sz w:val="24"/>
        </w:rPr>
      </w:pPr>
      <w:r>
        <w:rPr>
          <w:rFonts w:ascii="Calibri" w:eastAsia="Calibri" w:hAnsi="Calibri" w:cs="Calibri"/>
          <w:sz w:val="24"/>
        </w:rPr>
        <w:t xml:space="preserve"> </w:t>
      </w:r>
    </w:p>
    <w:p w:rsidR="006D1668" w:rsidRDefault="006D1668">
      <w:pPr>
        <w:spacing w:after="0" w:line="259" w:lineRule="auto"/>
        <w:ind w:left="360" w:right="0" w:firstLine="0"/>
        <w:jc w:val="left"/>
      </w:pPr>
    </w:p>
    <w:p w:rsidR="00A16FD0" w:rsidRDefault="00A16FD0">
      <w:pPr>
        <w:ind w:right="243"/>
      </w:pPr>
    </w:p>
    <w:p w:rsidR="00A16FD0" w:rsidRDefault="00A16FD0">
      <w:pPr>
        <w:ind w:right="243"/>
      </w:pPr>
    </w:p>
    <w:p w:rsidR="00A16FD0" w:rsidRDefault="00A16FD0">
      <w:pPr>
        <w:ind w:right="243"/>
      </w:pPr>
    </w:p>
    <w:p w:rsidR="00A16FD0" w:rsidRDefault="00A16FD0">
      <w:pPr>
        <w:ind w:right="243"/>
      </w:pPr>
    </w:p>
    <w:p w:rsidR="00A16FD0" w:rsidRDefault="00A16FD0">
      <w:pPr>
        <w:ind w:right="243"/>
      </w:pPr>
    </w:p>
    <w:p w:rsidR="00A16FD0" w:rsidRDefault="00A16FD0">
      <w:pPr>
        <w:ind w:right="243"/>
      </w:pPr>
    </w:p>
    <w:p w:rsidR="00A16FD0" w:rsidRDefault="00A16FD0">
      <w:pPr>
        <w:ind w:right="243"/>
      </w:pPr>
    </w:p>
    <w:p w:rsidR="00A16FD0" w:rsidRDefault="00A16FD0">
      <w:pPr>
        <w:ind w:right="243"/>
      </w:pPr>
    </w:p>
    <w:p w:rsidR="00A16FD0" w:rsidRDefault="00A16FD0">
      <w:pPr>
        <w:ind w:right="243"/>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162C53" w:rsidRDefault="00162C53">
      <w:pPr>
        <w:spacing w:after="112"/>
        <w:ind w:right="202"/>
        <w:rPr>
          <w:b/>
          <w:color w:val="0000FF"/>
          <w:u w:val="single" w:color="0000FF"/>
        </w:rPr>
      </w:pPr>
    </w:p>
    <w:p w:rsidR="00052BD2" w:rsidRDefault="00052BD2" w:rsidP="00052BD2">
      <w:pPr>
        <w:spacing w:after="360" w:line="250" w:lineRule="auto"/>
        <w:ind w:left="11" w:right="0" w:firstLine="567"/>
        <w:rPr>
          <w:rFonts w:ascii="Arial" w:hAnsi="Arial" w:cs="Arial"/>
        </w:rPr>
      </w:pP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04"/>
      </w:tblGrid>
      <w:tr w:rsidR="00052BD2" w:rsidTr="001B10EF">
        <w:tc>
          <w:tcPr>
            <w:tcW w:w="9204" w:type="dxa"/>
            <w:tcBorders>
              <w:top w:val="single" w:sz="4" w:space="0" w:color="auto"/>
              <w:left w:val="nil"/>
              <w:bottom w:val="single" w:sz="4" w:space="0" w:color="auto"/>
              <w:right w:val="nil"/>
            </w:tcBorders>
            <w:shd w:val="clear" w:color="auto" w:fill="FFFFFF" w:themeFill="background1"/>
          </w:tcPr>
          <w:p w:rsidR="00052BD2" w:rsidRPr="00E30FF9" w:rsidRDefault="00052BD2" w:rsidP="00052BD2">
            <w:pPr>
              <w:spacing w:before="240" w:after="240" w:line="250" w:lineRule="auto"/>
              <w:ind w:left="284" w:right="0" w:hanging="284"/>
              <w:jc w:val="center"/>
              <w:rPr>
                <w:rFonts w:ascii="Arial" w:hAnsi="Arial" w:cs="Arial"/>
              </w:rPr>
            </w:pPr>
            <w:r>
              <w:rPr>
                <w:rFonts w:ascii="Arial" w:hAnsi="Arial" w:cs="Arial"/>
                <w:b/>
                <w:color w:val="auto"/>
                <w:u w:color="0000FF"/>
              </w:rPr>
              <w:t>4</w:t>
            </w:r>
            <w:r w:rsidRPr="00E30FF9">
              <w:rPr>
                <w:rFonts w:ascii="Arial" w:hAnsi="Arial" w:cs="Arial"/>
                <w:b/>
                <w:color w:val="auto"/>
                <w:u w:color="0000FF"/>
              </w:rPr>
              <w:t xml:space="preserve">.- </w:t>
            </w:r>
            <w:r>
              <w:rPr>
                <w:rFonts w:ascii="Arial" w:hAnsi="Arial" w:cs="Arial"/>
                <w:b/>
                <w:color w:val="auto"/>
                <w:u w:color="0000FF"/>
              </w:rPr>
              <w:t>PLAN DE RECUPERACIÓN, TRANSFORMACIÓN Y RESILENCIA</w:t>
            </w:r>
          </w:p>
        </w:tc>
      </w:tr>
    </w:tbl>
    <w:p w:rsidR="00052BD2" w:rsidRPr="00E30FF9" w:rsidRDefault="00052BD2" w:rsidP="00052BD2">
      <w:pPr>
        <w:spacing w:line="250" w:lineRule="auto"/>
        <w:ind w:left="11" w:right="0" w:hanging="11"/>
        <w:rPr>
          <w:rFonts w:ascii="Arial" w:hAnsi="Arial" w:cs="Arial"/>
        </w:rPr>
      </w:pPr>
      <w:r w:rsidRPr="00E30FF9">
        <w:rPr>
          <w:rFonts w:ascii="Arial" w:hAnsi="Arial" w:cs="Arial"/>
        </w:rPr>
        <w:t xml:space="preserve"> </w:t>
      </w:r>
    </w:p>
    <w:p w:rsidR="00052BD2" w:rsidRPr="00A65207" w:rsidRDefault="00052BD2" w:rsidP="00052BD2">
      <w:pPr>
        <w:pStyle w:val="Prrafodelista"/>
        <w:numPr>
          <w:ilvl w:val="0"/>
          <w:numId w:val="14"/>
        </w:numPr>
        <w:spacing w:after="120" w:line="250" w:lineRule="auto"/>
        <w:ind w:right="0"/>
        <w:contextualSpacing w:val="0"/>
        <w:rPr>
          <w:rFonts w:ascii="Arial" w:hAnsi="Arial" w:cs="Arial"/>
          <w:b/>
        </w:rPr>
      </w:pPr>
      <w:r>
        <w:rPr>
          <w:rFonts w:ascii="Arial" w:hAnsi="Arial" w:cs="Arial"/>
          <w:b/>
        </w:rPr>
        <w:t>ANÁLISIS SISTEMÁTICO DEL RIESGO DE CONFLICTO DE INTERÉS EN LOS PROCEDIMIENTOS ADMINISTRATIVOS QUE EJECUTAN EL PLAN DE RECUPERACIÓN, TRNASOFMRACIÓN Y RESILIENCIA</w:t>
      </w:r>
      <w:r w:rsidRPr="00A65207">
        <w:rPr>
          <w:rFonts w:ascii="Arial" w:hAnsi="Arial" w:cs="Arial"/>
          <w:b/>
        </w:rPr>
        <w:t xml:space="preserve"> (</w:t>
      </w:r>
      <w:r w:rsidRPr="00052BD2">
        <w:rPr>
          <w:rFonts w:ascii="Arial" w:hAnsi="Arial" w:cs="Arial"/>
          <w:b/>
        </w:rPr>
        <w:t xml:space="preserve">Disposición adicional </w:t>
      </w:r>
      <w:r>
        <w:rPr>
          <w:rFonts w:ascii="Arial" w:hAnsi="Arial" w:cs="Arial"/>
          <w:b/>
        </w:rPr>
        <w:t>112</w:t>
      </w:r>
      <w:r w:rsidRPr="00052BD2">
        <w:rPr>
          <w:rFonts w:ascii="Arial" w:hAnsi="Arial" w:cs="Arial"/>
          <w:b/>
        </w:rPr>
        <w:t xml:space="preserve"> </w:t>
      </w:r>
      <w:r w:rsidR="00042964">
        <w:rPr>
          <w:rFonts w:ascii="Arial" w:hAnsi="Arial" w:cs="Arial"/>
          <w:b/>
        </w:rPr>
        <w:t>LPGE-P 2024</w:t>
      </w:r>
      <w:r w:rsidRPr="00052BD2">
        <w:rPr>
          <w:rFonts w:ascii="Arial" w:hAnsi="Arial" w:cs="Arial"/>
          <w:b/>
        </w:rPr>
        <w:t>, carácter básico</w:t>
      </w:r>
      <w:r w:rsidRPr="00A65207">
        <w:rPr>
          <w:rFonts w:ascii="Arial" w:hAnsi="Arial" w:cs="Arial"/>
          <w:b/>
        </w:rPr>
        <w:t xml:space="preserve">)  </w:t>
      </w:r>
    </w:p>
    <w:p w:rsidR="007778C4" w:rsidRDefault="009D6E73" w:rsidP="00AE14E5">
      <w:pPr>
        <w:spacing w:after="120" w:line="250" w:lineRule="auto"/>
        <w:ind w:left="11" w:right="0" w:firstLine="556"/>
        <w:rPr>
          <w:rFonts w:ascii="Arial" w:hAnsi="Arial" w:cs="Arial"/>
        </w:rPr>
      </w:pPr>
      <w:r w:rsidRPr="00AE14E5">
        <w:rPr>
          <w:rFonts w:ascii="Arial" w:hAnsi="Arial" w:cs="Arial"/>
        </w:rPr>
        <w:t xml:space="preserve">La </w:t>
      </w:r>
      <w:r w:rsidR="00B46ADA" w:rsidRPr="00AE14E5">
        <w:rPr>
          <w:rFonts w:ascii="Arial" w:hAnsi="Arial" w:cs="Arial"/>
        </w:rPr>
        <w:t xml:space="preserve">Disposición adicional </w:t>
      </w:r>
      <w:r w:rsidR="00052BD2" w:rsidRPr="00AE14E5">
        <w:rPr>
          <w:rFonts w:ascii="Arial" w:hAnsi="Arial" w:cs="Arial"/>
        </w:rPr>
        <w:t xml:space="preserve">112 </w:t>
      </w:r>
      <w:r w:rsidRPr="00AE14E5">
        <w:rPr>
          <w:rFonts w:ascii="Arial" w:hAnsi="Arial" w:cs="Arial"/>
        </w:rPr>
        <w:t xml:space="preserve">segunda establece </w:t>
      </w:r>
      <w:r w:rsidRPr="00AE14E5">
        <w:rPr>
          <w:rFonts w:ascii="Arial" w:hAnsi="Arial" w:cs="Arial"/>
          <w:b/>
        </w:rPr>
        <w:t>con vigencia indefinida</w:t>
      </w:r>
      <w:r w:rsidRPr="00AE14E5">
        <w:rPr>
          <w:rFonts w:ascii="Arial" w:hAnsi="Arial" w:cs="Arial"/>
        </w:rPr>
        <w:t xml:space="preserve"> las reglas que han de seguirse para efectuar el análisis sistemático y automatizado del riesgo de conflicto</w:t>
      </w:r>
      <w:r w:rsidR="007778C4">
        <w:rPr>
          <w:rFonts w:ascii="Arial" w:hAnsi="Arial" w:cs="Arial"/>
        </w:rPr>
        <w:t xml:space="preserve"> </w:t>
      </w:r>
      <w:r w:rsidRPr="00AE14E5">
        <w:rPr>
          <w:rFonts w:ascii="Arial" w:hAnsi="Arial" w:cs="Arial"/>
        </w:rPr>
        <w:t xml:space="preserve"> de</w:t>
      </w:r>
    </w:p>
    <w:p w:rsidR="006146AF" w:rsidRDefault="006146AF" w:rsidP="00AE14E5">
      <w:pPr>
        <w:spacing w:after="120" w:line="250" w:lineRule="auto"/>
        <w:ind w:left="11" w:right="0" w:firstLine="556"/>
        <w:rPr>
          <w:rFonts w:ascii="Arial" w:hAnsi="Arial" w:cs="Arial"/>
        </w:rPr>
      </w:pPr>
    </w:p>
    <w:p w:rsidR="007778C4" w:rsidRDefault="007778C4" w:rsidP="00AE14E5">
      <w:pPr>
        <w:spacing w:after="120" w:line="250" w:lineRule="auto"/>
        <w:ind w:left="11" w:right="0" w:firstLine="556"/>
        <w:rPr>
          <w:rFonts w:ascii="Arial" w:hAnsi="Arial" w:cs="Arial"/>
        </w:rPr>
      </w:pPr>
    </w:p>
    <w:p w:rsidR="007778C4" w:rsidRDefault="007778C4" w:rsidP="00AE14E5">
      <w:pPr>
        <w:spacing w:after="120" w:line="250" w:lineRule="auto"/>
        <w:ind w:left="11" w:right="0" w:firstLine="556"/>
        <w:rPr>
          <w:rFonts w:ascii="Arial" w:hAnsi="Arial" w:cs="Arial"/>
        </w:rPr>
      </w:pPr>
    </w:p>
    <w:p w:rsidR="006146AF" w:rsidRDefault="006146AF" w:rsidP="00AE14E5">
      <w:pPr>
        <w:spacing w:after="120" w:line="250" w:lineRule="auto"/>
        <w:ind w:left="11" w:right="0" w:firstLine="556"/>
        <w:rPr>
          <w:rFonts w:ascii="Arial" w:hAnsi="Arial" w:cs="Arial"/>
        </w:rPr>
      </w:pPr>
    </w:p>
    <w:p w:rsidR="00295FCC" w:rsidRPr="00AE14E5" w:rsidRDefault="009D6E73" w:rsidP="006146AF">
      <w:pPr>
        <w:spacing w:after="120" w:line="250" w:lineRule="auto"/>
        <w:ind w:left="11" w:right="0" w:hanging="11"/>
        <w:rPr>
          <w:rFonts w:ascii="Arial" w:hAnsi="Arial" w:cs="Arial"/>
        </w:rPr>
      </w:pPr>
      <w:r w:rsidRPr="00AE14E5">
        <w:rPr>
          <w:rFonts w:ascii="Arial" w:hAnsi="Arial" w:cs="Arial"/>
        </w:rPr>
        <w:t xml:space="preserve">intereses en los procedimientos que ejecutan el Plan de Recuperación, Transformación y Resiliencia.  </w:t>
      </w:r>
    </w:p>
    <w:p w:rsidR="00181FC4" w:rsidRDefault="004D53DF" w:rsidP="004D53DF">
      <w:pPr>
        <w:spacing w:after="120" w:line="250" w:lineRule="auto"/>
        <w:ind w:left="11" w:right="0" w:firstLine="556"/>
        <w:rPr>
          <w:rFonts w:ascii="Arial" w:hAnsi="Arial" w:cs="Arial"/>
        </w:rPr>
      </w:pPr>
      <w:r>
        <w:rPr>
          <w:rFonts w:ascii="Arial" w:hAnsi="Arial" w:cs="Arial"/>
        </w:rPr>
        <w:t>A continuación,</w:t>
      </w:r>
      <w:r w:rsidR="009D6E73" w:rsidRPr="004D53DF">
        <w:rPr>
          <w:rFonts w:ascii="Arial" w:hAnsi="Arial" w:cs="Arial"/>
        </w:rPr>
        <w:t xml:space="preserve"> nos referimos a los </w:t>
      </w:r>
      <w:r w:rsidR="009D6E73" w:rsidRPr="00E5002A">
        <w:rPr>
          <w:rFonts w:ascii="Arial" w:hAnsi="Arial" w:cs="Arial"/>
          <w:b/>
        </w:rPr>
        <w:t>puntos más significativos</w:t>
      </w:r>
      <w:r w:rsidR="009D6E73" w:rsidRPr="004D53DF">
        <w:rPr>
          <w:rFonts w:ascii="Arial" w:hAnsi="Arial" w:cs="Arial"/>
        </w:rPr>
        <w:t xml:space="preserve">, remitiéndonos a la lectura de dicha Disposición adicional para un conocimiento detallado </w:t>
      </w:r>
      <w:r w:rsidR="009D6E73" w:rsidRPr="00E5002A">
        <w:rPr>
          <w:rFonts w:ascii="Arial" w:hAnsi="Arial" w:cs="Arial"/>
          <w:b/>
        </w:rPr>
        <w:t>de dichas reglas</w:t>
      </w:r>
      <w:r w:rsidR="009D6E73" w:rsidRPr="004D53DF">
        <w:rPr>
          <w:rFonts w:ascii="Arial" w:hAnsi="Arial" w:cs="Arial"/>
        </w:rPr>
        <w:t xml:space="preserve">. </w:t>
      </w:r>
    </w:p>
    <w:p w:rsidR="00295FCC" w:rsidRPr="004D53DF" w:rsidRDefault="009D6E73" w:rsidP="004D53DF">
      <w:pPr>
        <w:spacing w:after="120" w:line="250" w:lineRule="auto"/>
        <w:ind w:left="11" w:right="0" w:firstLine="556"/>
        <w:rPr>
          <w:rFonts w:ascii="Arial" w:hAnsi="Arial" w:cs="Arial"/>
        </w:rPr>
      </w:pPr>
      <w:r w:rsidRPr="004D53DF">
        <w:rPr>
          <w:rFonts w:ascii="Arial" w:hAnsi="Arial" w:cs="Arial"/>
        </w:rPr>
        <w:t xml:space="preserve">El </w:t>
      </w:r>
      <w:r w:rsidRPr="00F4585A">
        <w:rPr>
          <w:rFonts w:ascii="Arial" w:hAnsi="Arial" w:cs="Arial"/>
        </w:rPr>
        <w:t>análisis sistemático y automatizado del riesgo de conflicto de interés</w:t>
      </w:r>
      <w:r w:rsidRPr="004D53DF">
        <w:rPr>
          <w:rFonts w:ascii="Arial" w:hAnsi="Arial" w:cs="Arial"/>
        </w:rPr>
        <w:t xml:space="preserve"> en los procedimientos que ejecutan el Plan de Recuperación, Transformación y Resiliencia: </w:t>
      </w:r>
    </w:p>
    <w:p w:rsidR="00295FCC" w:rsidRPr="004D53DF" w:rsidRDefault="009D6E73" w:rsidP="00181FC4">
      <w:pPr>
        <w:pStyle w:val="Prrafodelista"/>
        <w:numPr>
          <w:ilvl w:val="0"/>
          <w:numId w:val="15"/>
        </w:numPr>
        <w:spacing w:after="120" w:line="259" w:lineRule="auto"/>
        <w:ind w:left="709" w:right="0" w:hanging="142"/>
        <w:contextualSpacing w:val="0"/>
        <w:jc w:val="left"/>
        <w:rPr>
          <w:rFonts w:ascii="Arial" w:hAnsi="Arial" w:cs="Arial"/>
        </w:rPr>
      </w:pPr>
      <w:r w:rsidRPr="004D53DF">
        <w:rPr>
          <w:rFonts w:ascii="Arial" w:hAnsi="Arial" w:cs="Arial"/>
          <w:b/>
          <w:u w:val="single" w:color="000000"/>
        </w:rPr>
        <w:t>Está basado en una herramienta informática</w:t>
      </w:r>
      <w:r w:rsidRPr="004D53DF">
        <w:rPr>
          <w:rFonts w:ascii="Arial" w:hAnsi="Arial" w:cs="Arial"/>
          <w:u w:color="000000"/>
        </w:rPr>
        <w:t xml:space="preserve"> </w:t>
      </w:r>
      <w:r w:rsidRPr="004D53DF">
        <w:rPr>
          <w:rFonts w:ascii="Arial" w:hAnsi="Arial" w:cs="Arial"/>
        </w:rPr>
        <w:t xml:space="preserve">de «data </w:t>
      </w:r>
      <w:proofErr w:type="spellStart"/>
      <w:r w:rsidRPr="004D53DF">
        <w:rPr>
          <w:rFonts w:ascii="Arial" w:hAnsi="Arial" w:cs="Arial"/>
        </w:rPr>
        <w:t>mining</w:t>
      </w:r>
      <w:proofErr w:type="spellEnd"/>
      <w:r w:rsidRPr="004D53DF">
        <w:rPr>
          <w:rFonts w:ascii="Arial" w:hAnsi="Arial" w:cs="Arial"/>
        </w:rPr>
        <w:t xml:space="preserve">», con sede en la Agencia Estatal de Administración Tributaria de España, </w:t>
      </w:r>
    </w:p>
    <w:p w:rsidR="00295FCC" w:rsidRDefault="001240B2" w:rsidP="00C04382">
      <w:pPr>
        <w:numPr>
          <w:ilvl w:val="0"/>
          <w:numId w:val="15"/>
        </w:numPr>
        <w:spacing w:after="120" w:line="259" w:lineRule="auto"/>
        <w:ind w:left="709" w:right="0" w:hanging="142"/>
        <w:jc w:val="left"/>
        <w:rPr>
          <w:rFonts w:ascii="Arial" w:hAnsi="Arial" w:cs="Arial"/>
        </w:rPr>
      </w:pPr>
      <w:r w:rsidRPr="004D53DF">
        <w:rPr>
          <w:rFonts w:ascii="Arial" w:hAnsi="Arial" w:cs="Arial"/>
          <w:b/>
          <w:u w:val="single" w:color="000000"/>
        </w:rPr>
        <w:t>Es de aplicació</w:t>
      </w:r>
      <w:r w:rsidR="004D53DF">
        <w:rPr>
          <w:rFonts w:ascii="Arial" w:hAnsi="Arial" w:cs="Arial"/>
          <w:b/>
          <w:u w:val="single" w:color="000000"/>
        </w:rPr>
        <w:t>n</w:t>
      </w:r>
      <w:r w:rsidR="009D6E73" w:rsidRPr="004D53DF">
        <w:rPr>
          <w:rFonts w:ascii="Arial" w:hAnsi="Arial" w:cs="Arial"/>
          <w:u w:val="single" w:color="000000"/>
        </w:rPr>
        <w:t>:</w:t>
      </w:r>
      <w:r w:rsidR="009D6E73" w:rsidRPr="004D53DF">
        <w:rPr>
          <w:rFonts w:ascii="Arial" w:hAnsi="Arial" w:cs="Arial"/>
        </w:rPr>
        <w:t xml:space="preserve"> </w:t>
      </w:r>
    </w:p>
    <w:p w:rsidR="00295FCC" w:rsidRPr="00C04382" w:rsidRDefault="009D6E73" w:rsidP="00E5002A">
      <w:pPr>
        <w:pStyle w:val="Prrafodelista"/>
        <w:numPr>
          <w:ilvl w:val="0"/>
          <w:numId w:val="16"/>
        </w:numPr>
        <w:spacing w:after="120" w:line="250" w:lineRule="auto"/>
        <w:ind w:right="196"/>
        <w:rPr>
          <w:rFonts w:ascii="Arial" w:hAnsi="Arial" w:cs="Arial"/>
        </w:rPr>
      </w:pPr>
      <w:r w:rsidRPr="00C04382">
        <w:rPr>
          <w:rFonts w:ascii="Arial" w:hAnsi="Arial" w:cs="Arial"/>
          <w:u w:color="000000"/>
        </w:rPr>
        <w:t xml:space="preserve">A los siguientes </w:t>
      </w:r>
      <w:r w:rsidRPr="00C04382">
        <w:rPr>
          <w:rFonts w:ascii="Arial" w:hAnsi="Arial" w:cs="Arial"/>
          <w:b/>
          <w:u w:color="000000"/>
        </w:rPr>
        <w:t>procedimientos</w:t>
      </w:r>
      <w:r w:rsidRPr="00C04382">
        <w:rPr>
          <w:rFonts w:ascii="Arial" w:hAnsi="Arial" w:cs="Arial"/>
        </w:rPr>
        <w:t xml:space="preserve"> </w:t>
      </w:r>
      <w:r w:rsidRPr="00C04382">
        <w:rPr>
          <w:rFonts w:ascii="Arial" w:hAnsi="Arial" w:cs="Arial"/>
          <w:u w:color="000000"/>
        </w:rPr>
        <w:t>vinculados a la ejecución del Plan de</w:t>
      </w:r>
      <w:r w:rsidRPr="00C04382">
        <w:rPr>
          <w:rFonts w:ascii="Arial" w:hAnsi="Arial" w:cs="Arial"/>
        </w:rPr>
        <w:t xml:space="preserve"> </w:t>
      </w:r>
      <w:r w:rsidRPr="00C04382">
        <w:rPr>
          <w:rFonts w:ascii="Arial" w:hAnsi="Arial" w:cs="Arial"/>
          <w:u w:color="000000"/>
        </w:rPr>
        <w:t>Recuperación Transformación y Resilienci</w:t>
      </w:r>
      <w:r w:rsidRPr="00C04382">
        <w:rPr>
          <w:rFonts w:ascii="Arial" w:hAnsi="Arial" w:cs="Arial"/>
        </w:rPr>
        <w:t xml:space="preserve">a: </w:t>
      </w:r>
    </w:p>
    <w:p w:rsidR="00295FCC" w:rsidRPr="004D53DF" w:rsidRDefault="009D6E73" w:rsidP="00181FC4">
      <w:pPr>
        <w:numPr>
          <w:ilvl w:val="2"/>
          <w:numId w:val="17"/>
        </w:numPr>
        <w:spacing w:after="120" w:line="250" w:lineRule="auto"/>
        <w:ind w:left="1730" w:right="108" w:hanging="312"/>
        <w:rPr>
          <w:rFonts w:ascii="Arial" w:hAnsi="Arial" w:cs="Arial"/>
        </w:rPr>
      </w:pPr>
      <w:r w:rsidRPr="004D53DF">
        <w:rPr>
          <w:rFonts w:ascii="Arial" w:hAnsi="Arial" w:cs="Arial"/>
        </w:rPr>
        <w:t xml:space="preserve">En los procedimientos de adjudicación de los contratos. </w:t>
      </w:r>
    </w:p>
    <w:p w:rsidR="00295FCC" w:rsidRPr="004D53DF" w:rsidRDefault="009D6E73" w:rsidP="00181FC4">
      <w:pPr>
        <w:numPr>
          <w:ilvl w:val="2"/>
          <w:numId w:val="17"/>
        </w:numPr>
        <w:spacing w:after="120" w:line="250" w:lineRule="auto"/>
        <w:ind w:left="1730" w:right="108" w:hanging="312"/>
        <w:rPr>
          <w:rFonts w:ascii="Arial" w:hAnsi="Arial" w:cs="Arial"/>
        </w:rPr>
      </w:pPr>
      <w:r w:rsidRPr="004D53DF">
        <w:rPr>
          <w:rFonts w:ascii="Arial" w:hAnsi="Arial" w:cs="Arial"/>
        </w:rPr>
        <w:t xml:space="preserve">En los procedimientos de concesión de subvenciones salvo aquellas de concurrencia masiva, entendiéndose por tal las que tengan más de cien solicitudes. En estos casos de concurrencia masiva se realizará el análisis sobre una muestra. </w:t>
      </w:r>
    </w:p>
    <w:p w:rsidR="00295FCC" w:rsidRPr="00C04382" w:rsidRDefault="009D6E73" w:rsidP="00F4585A">
      <w:pPr>
        <w:pStyle w:val="Prrafodelista"/>
        <w:numPr>
          <w:ilvl w:val="0"/>
          <w:numId w:val="18"/>
        </w:numPr>
        <w:spacing w:after="120" w:line="250" w:lineRule="auto"/>
        <w:ind w:left="1066" w:right="198" w:hanging="357"/>
        <w:contextualSpacing w:val="0"/>
        <w:rPr>
          <w:rFonts w:ascii="Arial" w:hAnsi="Arial" w:cs="Arial"/>
        </w:rPr>
      </w:pPr>
      <w:r w:rsidRPr="00C04382">
        <w:rPr>
          <w:rFonts w:ascii="Arial" w:hAnsi="Arial" w:cs="Arial"/>
          <w:u w:color="000000"/>
        </w:rPr>
        <w:t xml:space="preserve">A los </w:t>
      </w:r>
      <w:r w:rsidRPr="00C04382">
        <w:rPr>
          <w:rFonts w:ascii="Arial" w:hAnsi="Arial" w:cs="Arial"/>
          <w:b/>
          <w:u w:color="000000"/>
        </w:rPr>
        <w:t>empleados públicos</w:t>
      </w:r>
      <w:r w:rsidRPr="00C04382">
        <w:rPr>
          <w:rFonts w:ascii="Arial" w:hAnsi="Arial" w:cs="Arial"/>
          <w:u w:color="000000"/>
        </w:rPr>
        <w:t xml:space="preserve"> y resto de personal al servicio de entidades</w:t>
      </w:r>
      <w:r w:rsidRPr="00C04382">
        <w:rPr>
          <w:rFonts w:ascii="Arial" w:hAnsi="Arial" w:cs="Arial"/>
        </w:rPr>
        <w:t xml:space="preserve"> </w:t>
      </w:r>
      <w:r w:rsidRPr="00C04382">
        <w:rPr>
          <w:rFonts w:ascii="Arial" w:hAnsi="Arial" w:cs="Arial"/>
          <w:u w:color="000000"/>
        </w:rPr>
        <w:t>decisoras, ejecutoras e instrumentales que participen, de forma individual o</w:t>
      </w:r>
      <w:r w:rsidRPr="00C04382">
        <w:rPr>
          <w:rFonts w:ascii="Arial" w:hAnsi="Arial" w:cs="Arial"/>
        </w:rPr>
        <w:t xml:space="preserve"> </w:t>
      </w:r>
      <w:r w:rsidRPr="00C04382">
        <w:rPr>
          <w:rFonts w:ascii="Arial" w:hAnsi="Arial" w:cs="Arial"/>
          <w:u w:color="000000"/>
        </w:rPr>
        <w:t>mediante su pertenencia a órganos colegiados, en los procedimientos</w:t>
      </w:r>
      <w:r w:rsidRPr="00C04382">
        <w:rPr>
          <w:rFonts w:ascii="Arial" w:hAnsi="Arial" w:cs="Arial"/>
        </w:rPr>
        <w:t xml:space="preserve"> </w:t>
      </w:r>
      <w:r w:rsidRPr="00C04382">
        <w:rPr>
          <w:rFonts w:ascii="Arial" w:hAnsi="Arial" w:cs="Arial"/>
          <w:u w:color="000000"/>
        </w:rPr>
        <w:t>descritos</w:t>
      </w:r>
      <w:r w:rsidRPr="00C04382">
        <w:rPr>
          <w:rFonts w:ascii="Arial" w:hAnsi="Arial" w:cs="Arial"/>
        </w:rPr>
        <w:t xml:space="preserve"> de adjudicación de contratos o de concesión de subvenciones. </w:t>
      </w:r>
    </w:p>
    <w:p w:rsidR="00295FCC" w:rsidRPr="004D53DF" w:rsidRDefault="009D6E73" w:rsidP="0081562D">
      <w:pPr>
        <w:spacing w:after="120" w:line="259" w:lineRule="auto"/>
        <w:ind w:left="1066" w:right="0" w:firstLine="0"/>
        <w:rPr>
          <w:rFonts w:ascii="Arial" w:hAnsi="Arial" w:cs="Arial"/>
        </w:rPr>
      </w:pPr>
      <w:r w:rsidRPr="004D53DF">
        <w:rPr>
          <w:rFonts w:ascii="Arial" w:hAnsi="Arial" w:cs="Arial"/>
        </w:rPr>
        <w:t xml:space="preserve"> </w:t>
      </w:r>
      <w:r w:rsidRPr="004D53DF">
        <w:rPr>
          <w:rFonts w:ascii="Arial" w:hAnsi="Arial" w:cs="Arial"/>
          <w:u w:val="single" w:color="000000"/>
        </w:rPr>
        <w:t>En particular, este análisis se llevará a cabo en cada procedimiento,</w:t>
      </w:r>
      <w:r w:rsidRPr="004D53DF">
        <w:rPr>
          <w:rFonts w:ascii="Arial" w:hAnsi="Arial" w:cs="Arial"/>
        </w:rPr>
        <w:t xml:space="preserve"> </w:t>
      </w:r>
      <w:r w:rsidRPr="004D53DF">
        <w:rPr>
          <w:rFonts w:ascii="Arial" w:hAnsi="Arial" w:cs="Arial"/>
          <w:u w:val="single" w:color="000000"/>
        </w:rPr>
        <w:t>para las personas que realicen las siguientes funciones</w:t>
      </w:r>
      <w:r w:rsidRPr="004D53DF">
        <w:rPr>
          <w:rFonts w:ascii="Arial" w:hAnsi="Arial" w:cs="Arial"/>
        </w:rPr>
        <w:t xml:space="preserve"> o asimilables, y </w:t>
      </w:r>
      <w:r w:rsidR="00181FC4">
        <w:rPr>
          <w:rFonts w:ascii="Arial" w:hAnsi="Arial" w:cs="Arial"/>
        </w:rPr>
        <w:t>aun</w:t>
      </w:r>
      <w:r w:rsidRPr="004D53DF">
        <w:rPr>
          <w:rFonts w:ascii="Arial" w:hAnsi="Arial" w:cs="Arial"/>
        </w:rPr>
        <w:t xml:space="preserve"> cuando no se rijan en su funcionamiento por la Ley 9/2017, de 8 de noviembre, de Contratos del Sector Público o la Ley 38/2003, de 17 de noviembre, General de Subvenciones: </w:t>
      </w:r>
    </w:p>
    <w:p w:rsidR="00295FCC" w:rsidRPr="004D53DF" w:rsidRDefault="009D6E73" w:rsidP="006D675F">
      <w:pPr>
        <w:spacing w:after="120" w:line="259" w:lineRule="auto"/>
        <w:ind w:left="1066" w:right="0" w:firstLine="0"/>
        <w:rPr>
          <w:rFonts w:ascii="Arial" w:hAnsi="Arial" w:cs="Arial"/>
        </w:rPr>
      </w:pPr>
      <w:r w:rsidRPr="00181FC4">
        <w:rPr>
          <w:rFonts w:ascii="Arial" w:hAnsi="Arial" w:cs="Arial"/>
        </w:rPr>
        <w:t xml:space="preserve"> </w:t>
      </w:r>
      <w:r w:rsidRPr="00181FC4">
        <w:rPr>
          <w:rFonts w:ascii="Arial" w:hAnsi="Arial" w:cs="Arial"/>
          <w:u w:color="000000"/>
        </w:rPr>
        <w:t xml:space="preserve">1. </w:t>
      </w:r>
      <w:r w:rsidRPr="004D53DF">
        <w:rPr>
          <w:rFonts w:ascii="Arial" w:hAnsi="Arial" w:cs="Arial"/>
          <w:u w:val="single" w:color="000000"/>
        </w:rPr>
        <w:t>Contratos</w:t>
      </w:r>
      <w:r w:rsidRPr="004D53DF">
        <w:rPr>
          <w:rFonts w:ascii="Arial" w:hAnsi="Arial" w:cs="Arial"/>
        </w:rPr>
        <w:t xml:space="preserve">: órgano de contratación unipersonal y miembros del órgano de contratación colegiado, así como miembros del órgano colegiado de asistencia al órgano de contratación que participen en los procedimientos de contratación indicados, en las fases de valoración de ofertas, propuesta de adjudicación y adjudicación del contrato. </w:t>
      </w:r>
    </w:p>
    <w:p w:rsidR="00295FCC" w:rsidRPr="004D53DF" w:rsidRDefault="009D6E73" w:rsidP="006D675F">
      <w:pPr>
        <w:spacing w:after="120" w:line="259" w:lineRule="auto"/>
        <w:ind w:left="1066" w:right="0" w:firstLine="0"/>
        <w:rPr>
          <w:rFonts w:ascii="Arial" w:hAnsi="Arial" w:cs="Arial"/>
        </w:rPr>
      </w:pPr>
      <w:r w:rsidRPr="00181FC4">
        <w:rPr>
          <w:rFonts w:ascii="Arial" w:hAnsi="Arial" w:cs="Arial"/>
        </w:rPr>
        <w:t xml:space="preserve"> </w:t>
      </w:r>
      <w:r w:rsidR="006B67B6" w:rsidRPr="006D675F">
        <w:rPr>
          <w:rFonts w:ascii="Arial" w:hAnsi="Arial" w:cs="Arial"/>
        </w:rPr>
        <w:t xml:space="preserve">2- </w:t>
      </w:r>
      <w:r w:rsidRPr="006D675F">
        <w:rPr>
          <w:rFonts w:ascii="Arial" w:hAnsi="Arial" w:cs="Arial"/>
        </w:rPr>
        <w:t>Subvenciones</w:t>
      </w:r>
      <w:r w:rsidR="00D73FB4">
        <w:rPr>
          <w:rFonts w:ascii="Arial" w:hAnsi="Arial" w:cs="Arial"/>
        </w:rPr>
        <w:t xml:space="preserve">: </w:t>
      </w:r>
      <w:r w:rsidRPr="004D53DF">
        <w:rPr>
          <w:rFonts w:ascii="Arial" w:hAnsi="Arial" w:cs="Arial"/>
        </w:rPr>
        <w:t xml:space="preserve">órgano competente para la concesión y miembros de los órganos colegiados de valoración de solicitudes, en las fases de valoración de solicitudes y resolución de concesión. </w:t>
      </w:r>
    </w:p>
    <w:p w:rsidR="00295FCC" w:rsidRPr="004D53DF" w:rsidRDefault="009D6E73" w:rsidP="00D73FB4">
      <w:pPr>
        <w:spacing w:after="120" w:line="259" w:lineRule="auto"/>
        <w:ind w:left="1134" w:right="0" w:firstLine="0"/>
        <w:rPr>
          <w:rFonts w:ascii="Arial" w:hAnsi="Arial" w:cs="Arial"/>
        </w:rPr>
      </w:pPr>
      <w:r w:rsidRPr="004D53DF">
        <w:rPr>
          <w:rFonts w:ascii="Arial" w:hAnsi="Arial" w:cs="Arial"/>
        </w:rPr>
        <w:t xml:space="preserve">Las personas mencionadas </w:t>
      </w:r>
      <w:r w:rsidRPr="00D73FB4">
        <w:rPr>
          <w:rFonts w:ascii="Arial" w:hAnsi="Arial" w:cs="Arial"/>
        </w:rPr>
        <w:t xml:space="preserve">serán las que deban </w:t>
      </w:r>
      <w:r w:rsidRPr="00D73FB4">
        <w:rPr>
          <w:rFonts w:ascii="Arial" w:hAnsi="Arial" w:cs="Arial"/>
          <w:b/>
        </w:rPr>
        <w:t>firmar las declaraciones de ausencia de conflicto de interés (DACI)</w:t>
      </w:r>
      <w:r w:rsidRPr="004D53DF">
        <w:rPr>
          <w:rFonts w:ascii="Arial" w:hAnsi="Arial" w:cs="Arial"/>
        </w:rPr>
        <w:t xml:space="preserve"> respecto de los participantes en los procedimientos de contratación o de concesión de subvenciones. Esta formulación se realizará una vez conocidos dichos participantes </w:t>
      </w:r>
    </w:p>
    <w:p w:rsidR="00295FCC" w:rsidRPr="00D73FB4" w:rsidRDefault="009D6E73" w:rsidP="00D73FB4">
      <w:pPr>
        <w:spacing w:after="120" w:line="259" w:lineRule="auto"/>
        <w:ind w:left="1134" w:right="0" w:firstLine="0"/>
        <w:rPr>
          <w:rFonts w:ascii="Arial" w:hAnsi="Arial" w:cs="Arial"/>
        </w:rPr>
      </w:pPr>
      <w:r w:rsidRPr="00D73FB4">
        <w:rPr>
          <w:rFonts w:ascii="Arial" w:hAnsi="Arial" w:cs="Arial"/>
          <w:b/>
          <w:u w:color="000000"/>
        </w:rPr>
        <w:t>Mediante Orden</w:t>
      </w:r>
      <w:r w:rsidRPr="00D73FB4">
        <w:rPr>
          <w:rFonts w:ascii="Arial" w:hAnsi="Arial" w:cs="Arial"/>
          <w:u w:color="000000"/>
        </w:rPr>
        <w:t xml:space="preserve"> de la persona titular del Ministerio de Hacienda</w:t>
      </w:r>
      <w:r w:rsidRPr="00D73FB4">
        <w:rPr>
          <w:rFonts w:ascii="Arial" w:hAnsi="Arial" w:cs="Arial"/>
        </w:rPr>
        <w:t xml:space="preserve"> y Función Pública se establecerá el </w:t>
      </w:r>
      <w:r w:rsidRPr="00D73FB4">
        <w:rPr>
          <w:rFonts w:ascii="Arial" w:hAnsi="Arial" w:cs="Arial"/>
          <w:b/>
          <w:u w:color="000000"/>
        </w:rPr>
        <w:t>contenido mínimo</w:t>
      </w:r>
      <w:r w:rsidRPr="00D73FB4">
        <w:rPr>
          <w:rFonts w:ascii="Arial" w:hAnsi="Arial" w:cs="Arial"/>
          <w:u w:color="000000"/>
        </w:rPr>
        <w:t xml:space="preserve"> que obligatoriamente</w:t>
      </w:r>
      <w:r w:rsidRPr="00D73FB4">
        <w:rPr>
          <w:rFonts w:ascii="Arial" w:hAnsi="Arial" w:cs="Arial"/>
        </w:rPr>
        <w:t xml:space="preserve"> </w:t>
      </w:r>
      <w:r w:rsidRPr="00D73FB4">
        <w:rPr>
          <w:rFonts w:ascii="Arial" w:hAnsi="Arial" w:cs="Arial"/>
          <w:u w:color="000000"/>
        </w:rPr>
        <w:t xml:space="preserve">deberán contener las </w:t>
      </w:r>
      <w:r w:rsidRPr="00D73FB4">
        <w:rPr>
          <w:rFonts w:ascii="Arial" w:hAnsi="Arial" w:cs="Arial"/>
          <w:b/>
          <w:u w:color="000000"/>
        </w:rPr>
        <w:t>declaraciones</w:t>
      </w:r>
      <w:r w:rsidRPr="00D73FB4">
        <w:rPr>
          <w:rFonts w:ascii="Arial" w:hAnsi="Arial" w:cs="Arial"/>
          <w:u w:color="000000"/>
        </w:rPr>
        <w:t xml:space="preserve"> a las que se refiere el párrafo anterior</w:t>
      </w:r>
      <w:r w:rsidRPr="00D73FB4">
        <w:rPr>
          <w:rFonts w:ascii="Arial" w:hAnsi="Arial" w:cs="Arial"/>
        </w:rPr>
        <w:t xml:space="preserve"> </w:t>
      </w:r>
    </w:p>
    <w:p w:rsidR="00306294" w:rsidRDefault="009D6E73" w:rsidP="00D73FB4">
      <w:pPr>
        <w:spacing w:after="0" w:line="259" w:lineRule="auto"/>
        <w:ind w:left="1134" w:right="0" w:firstLine="0"/>
        <w:rPr>
          <w:rFonts w:ascii="Arial" w:hAnsi="Arial" w:cs="Arial"/>
          <w:u w:color="000000"/>
        </w:rPr>
      </w:pPr>
      <w:r w:rsidRPr="00D73FB4">
        <w:rPr>
          <w:rFonts w:ascii="Arial" w:hAnsi="Arial" w:cs="Arial"/>
        </w:rPr>
        <w:t xml:space="preserve">A través de </w:t>
      </w:r>
      <w:r w:rsidRPr="00D73FB4">
        <w:rPr>
          <w:rFonts w:ascii="Arial" w:hAnsi="Arial" w:cs="Arial"/>
          <w:u w:color="000000"/>
        </w:rPr>
        <w:t xml:space="preserve">la </w:t>
      </w:r>
      <w:r w:rsidRPr="00D73FB4">
        <w:rPr>
          <w:rFonts w:ascii="Arial" w:hAnsi="Arial" w:cs="Arial"/>
          <w:b/>
          <w:u w:color="000000"/>
        </w:rPr>
        <w:t>herramienta informática</w:t>
      </w:r>
      <w:r w:rsidRPr="00D73FB4">
        <w:rPr>
          <w:rFonts w:ascii="Arial" w:hAnsi="Arial" w:cs="Arial"/>
        </w:rPr>
        <w:t xml:space="preserve"> </w:t>
      </w:r>
      <w:r w:rsidRPr="00D73FB4">
        <w:rPr>
          <w:rFonts w:ascii="Arial" w:hAnsi="Arial" w:cs="Arial"/>
          <w:u w:color="000000"/>
        </w:rPr>
        <w:t>se analizarán las posibles</w:t>
      </w:r>
      <w:r w:rsidRPr="00D73FB4">
        <w:rPr>
          <w:rFonts w:ascii="Arial" w:hAnsi="Arial" w:cs="Arial"/>
        </w:rPr>
        <w:t xml:space="preserve"> </w:t>
      </w:r>
      <w:r w:rsidRPr="00D73FB4">
        <w:rPr>
          <w:rFonts w:ascii="Arial" w:hAnsi="Arial" w:cs="Arial"/>
          <w:u w:color="000000"/>
        </w:rPr>
        <w:t>relaciones familiares o vinculaciones societarias, directas o indirectas, en las</w:t>
      </w:r>
      <w:r w:rsidRPr="00D73FB4">
        <w:rPr>
          <w:rFonts w:ascii="Arial" w:hAnsi="Arial" w:cs="Arial"/>
        </w:rPr>
        <w:t xml:space="preserve"> </w:t>
      </w:r>
      <w:r w:rsidRPr="00D73FB4">
        <w:rPr>
          <w:rFonts w:ascii="Arial" w:hAnsi="Arial" w:cs="Arial"/>
          <w:u w:color="000000"/>
        </w:rPr>
        <w:t xml:space="preserve">que se pueda dar un interés </w:t>
      </w:r>
      <w:r w:rsidR="00306294">
        <w:rPr>
          <w:rFonts w:ascii="Arial" w:hAnsi="Arial" w:cs="Arial"/>
          <w:u w:color="000000"/>
        </w:rPr>
        <w:t xml:space="preserve"> </w:t>
      </w:r>
      <w:r w:rsidRPr="00D73FB4">
        <w:rPr>
          <w:rFonts w:ascii="Arial" w:hAnsi="Arial" w:cs="Arial"/>
          <w:u w:color="000000"/>
        </w:rPr>
        <w:t xml:space="preserve">personal o </w:t>
      </w:r>
      <w:r w:rsidR="00306294">
        <w:rPr>
          <w:rFonts w:ascii="Arial" w:hAnsi="Arial" w:cs="Arial"/>
          <w:u w:color="000000"/>
        </w:rPr>
        <w:t xml:space="preserve"> </w:t>
      </w:r>
      <w:r w:rsidRPr="00D73FB4">
        <w:rPr>
          <w:rFonts w:ascii="Arial" w:hAnsi="Arial" w:cs="Arial"/>
          <w:u w:color="000000"/>
        </w:rPr>
        <w:t xml:space="preserve">económico </w:t>
      </w:r>
      <w:r w:rsidR="00306294">
        <w:rPr>
          <w:rFonts w:ascii="Arial" w:hAnsi="Arial" w:cs="Arial"/>
          <w:u w:color="000000"/>
        </w:rPr>
        <w:t xml:space="preserve"> </w:t>
      </w:r>
      <w:r w:rsidRPr="00D73FB4">
        <w:rPr>
          <w:rFonts w:ascii="Arial" w:hAnsi="Arial" w:cs="Arial"/>
          <w:u w:color="000000"/>
        </w:rPr>
        <w:t xml:space="preserve">susceptible </w:t>
      </w:r>
      <w:r w:rsidR="00306294">
        <w:rPr>
          <w:rFonts w:ascii="Arial" w:hAnsi="Arial" w:cs="Arial"/>
          <w:u w:color="000000"/>
        </w:rPr>
        <w:t xml:space="preserve"> </w:t>
      </w:r>
      <w:r w:rsidRPr="00D73FB4">
        <w:rPr>
          <w:rFonts w:ascii="Arial" w:hAnsi="Arial" w:cs="Arial"/>
          <w:u w:color="000000"/>
        </w:rPr>
        <w:t>de provocar</w:t>
      </w:r>
      <w:r w:rsidRPr="00D73FB4">
        <w:rPr>
          <w:rFonts w:ascii="Arial" w:hAnsi="Arial" w:cs="Arial"/>
        </w:rPr>
        <w:t xml:space="preserve"> </w:t>
      </w:r>
      <w:r w:rsidRPr="00D73FB4">
        <w:rPr>
          <w:rFonts w:ascii="Arial" w:hAnsi="Arial" w:cs="Arial"/>
          <w:u w:color="000000"/>
        </w:rPr>
        <w:t xml:space="preserve">un conflicto de </w:t>
      </w:r>
      <w:r w:rsidR="00306294">
        <w:rPr>
          <w:rFonts w:ascii="Arial" w:hAnsi="Arial" w:cs="Arial"/>
          <w:u w:color="000000"/>
        </w:rPr>
        <w:t xml:space="preserve"> </w:t>
      </w:r>
      <w:r w:rsidRPr="00D73FB4">
        <w:rPr>
          <w:rFonts w:ascii="Arial" w:hAnsi="Arial" w:cs="Arial"/>
          <w:u w:color="000000"/>
        </w:rPr>
        <w:t xml:space="preserve">interés, </w:t>
      </w:r>
    </w:p>
    <w:p w:rsidR="00306294" w:rsidRDefault="00306294" w:rsidP="00D73FB4">
      <w:pPr>
        <w:spacing w:after="0" w:line="259" w:lineRule="auto"/>
        <w:ind w:left="1134" w:right="0" w:firstLine="0"/>
        <w:rPr>
          <w:rFonts w:ascii="Arial" w:hAnsi="Arial" w:cs="Arial"/>
          <w:u w:color="000000"/>
        </w:rPr>
      </w:pPr>
    </w:p>
    <w:p w:rsidR="00306294" w:rsidRDefault="00306294" w:rsidP="00D73FB4">
      <w:pPr>
        <w:spacing w:after="0" w:line="259" w:lineRule="auto"/>
        <w:ind w:left="1134" w:right="0" w:firstLine="0"/>
        <w:rPr>
          <w:rFonts w:ascii="Arial" w:hAnsi="Arial" w:cs="Arial"/>
          <w:u w:color="000000"/>
        </w:rPr>
      </w:pPr>
    </w:p>
    <w:p w:rsidR="00D73FB4" w:rsidRDefault="009D6E73" w:rsidP="00306294">
      <w:pPr>
        <w:spacing w:after="120" w:line="259" w:lineRule="auto"/>
        <w:ind w:left="1134" w:right="0" w:firstLine="0"/>
        <w:rPr>
          <w:rFonts w:ascii="Arial" w:hAnsi="Arial" w:cs="Arial"/>
        </w:rPr>
      </w:pPr>
      <w:r w:rsidRPr="00D73FB4">
        <w:rPr>
          <w:rFonts w:ascii="Arial" w:hAnsi="Arial" w:cs="Arial"/>
          <w:u w:color="000000"/>
        </w:rPr>
        <w:t>entre las personas a las que se refiere el apartado</w:t>
      </w:r>
      <w:r w:rsidRPr="00D73FB4">
        <w:rPr>
          <w:rFonts w:ascii="Arial" w:hAnsi="Arial" w:cs="Arial"/>
        </w:rPr>
        <w:t xml:space="preserve"> </w:t>
      </w:r>
      <w:r w:rsidRPr="00D73FB4">
        <w:rPr>
          <w:rFonts w:ascii="Arial" w:hAnsi="Arial" w:cs="Arial"/>
          <w:u w:color="000000"/>
        </w:rPr>
        <w:t>anterior y los participantes en cada procedimiento.</w:t>
      </w:r>
      <w:r w:rsidRPr="00D73FB4">
        <w:rPr>
          <w:rFonts w:ascii="Arial" w:hAnsi="Arial" w:cs="Arial"/>
        </w:rPr>
        <w:t xml:space="preserve"> </w:t>
      </w:r>
    </w:p>
    <w:p w:rsidR="00295FCC" w:rsidRPr="006A72EF" w:rsidRDefault="006C6F3C" w:rsidP="00D04B15">
      <w:pPr>
        <w:spacing w:after="120" w:line="259" w:lineRule="auto"/>
        <w:ind w:left="1134" w:right="0" w:firstLine="0"/>
        <w:rPr>
          <w:rFonts w:ascii="Arial" w:hAnsi="Arial" w:cs="Arial"/>
          <w:u w:color="000000"/>
        </w:rPr>
      </w:pPr>
      <w:r>
        <w:rPr>
          <w:rFonts w:ascii="Arial" w:hAnsi="Arial" w:cs="Arial"/>
          <w:u w:color="000000"/>
        </w:rPr>
        <w:t xml:space="preserve">Sin perjuicio de </w:t>
      </w:r>
      <w:r w:rsidR="009D6E73" w:rsidRPr="006A72EF">
        <w:rPr>
          <w:rFonts w:ascii="Arial" w:hAnsi="Arial" w:cs="Arial"/>
          <w:u w:color="000000"/>
        </w:rPr>
        <w:t xml:space="preserve">lo anterior, en el caso de procedimientos de concesión de subvenciones de concurrencia masiva, entendiéndose por tales en los que concurran más de cien solicitantes, el análisis de las posibles relaciones tendrá lugar sobre una muestra de un máximo de 100 participantes, seleccionados aleatoriamente. </w:t>
      </w:r>
    </w:p>
    <w:p w:rsidR="00295FCC" w:rsidRPr="004D53DF" w:rsidRDefault="009D6E73" w:rsidP="00D04B15">
      <w:pPr>
        <w:numPr>
          <w:ilvl w:val="0"/>
          <w:numId w:val="15"/>
        </w:numPr>
        <w:spacing w:after="120" w:line="259" w:lineRule="auto"/>
        <w:ind w:left="709" w:right="0" w:hanging="142"/>
        <w:jc w:val="left"/>
        <w:rPr>
          <w:rFonts w:ascii="Arial" w:hAnsi="Arial" w:cs="Arial"/>
        </w:rPr>
      </w:pPr>
      <w:r w:rsidRPr="004D53DF">
        <w:rPr>
          <w:rFonts w:ascii="Arial" w:hAnsi="Arial" w:cs="Arial"/>
        </w:rPr>
        <w:t xml:space="preserve"> </w:t>
      </w:r>
      <w:r w:rsidRPr="00F66DA9">
        <w:rPr>
          <w:rFonts w:ascii="Arial" w:hAnsi="Arial" w:cs="Arial"/>
          <w:b/>
          <w:u w:val="single" w:color="000000"/>
        </w:rPr>
        <w:t>Procedimiento</w:t>
      </w:r>
      <w:r w:rsidR="006908C0">
        <w:rPr>
          <w:rFonts w:ascii="Arial" w:hAnsi="Arial" w:cs="Arial"/>
          <w:b/>
        </w:rPr>
        <w:t>:</w:t>
      </w:r>
      <w:r w:rsidRPr="004D53DF">
        <w:rPr>
          <w:rFonts w:ascii="Arial" w:hAnsi="Arial" w:cs="Arial"/>
        </w:rPr>
        <w:t xml:space="preserve"> </w:t>
      </w:r>
    </w:p>
    <w:p w:rsidR="00295FCC" w:rsidRPr="004D53DF" w:rsidRDefault="009D6E73" w:rsidP="00D04B15">
      <w:pPr>
        <w:spacing w:after="120" w:line="250" w:lineRule="auto"/>
        <w:ind w:left="567" w:right="0" w:firstLine="556"/>
        <w:rPr>
          <w:rFonts w:ascii="Arial" w:hAnsi="Arial" w:cs="Arial"/>
        </w:rPr>
      </w:pPr>
      <w:r w:rsidRPr="006908C0">
        <w:rPr>
          <w:rFonts w:ascii="Arial" w:hAnsi="Arial" w:cs="Arial"/>
          <w:u w:val="single"/>
        </w:rPr>
        <w:t>Con carácter previo a la valoración de las ofertas o solicitudes en cada procedimiento</w:t>
      </w:r>
      <w:r w:rsidRPr="004D53DF">
        <w:rPr>
          <w:rFonts w:ascii="Arial" w:hAnsi="Arial" w:cs="Arial"/>
        </w:rPr>
        <w:t xml:space="preserve">, </w:t>
      </w:r>
      <w:r w:rsidRPr="00F66DA9">
        <w:rPr>
          <w:rFonts w:ascii="Arial" w:hAnsi="Arial" w:cs="Arial"/>
        </w:rPr>
        <w:t>el órgano responsable de los procedimientos de contratación</w:t>
      </w:r>
      <w:r w:rsidRPr="004D53DF">
        <w:rPr>
          <w:rFonts w:ascii="Arial" w:hAnsi="Arial" w:cs="Arial"/>
        </w:rPr>
        <w:t xml:space="preserve"> </w:t>
      </w:r>
      <w:r w:rsidRPr="00F66DA9">
        <w:rPr>
          <w:rFonts w:ascii="Arial" w:hAnsi="Arial" w:cs="Arial"/>
        </w:rPr>
        <w:t>o de concesión de las subvenciones realizará el análisis del riesgo de</w:t>
      </w:r>
      <w:r w:rsidRPr="004D53DF">
        <w:rPr>
          <w:rFonts w:ascii="Arial" w:hAnsi="Arial" w:cs="Arial"/>
        </w:rPr>
        <w:t xml:space="preserve"> </w:t>
      </w:r>
      <w:r w:rsidRPr="00F66DA9">
        <w:rPr>
          <w:rFonts w:ascii="Arial" w:hAnsi="Arial" w:cs="Arial"/>
        </w:rPr>
        <w:t>conflicto de interés, a través de la herramienta informática.</w:t>
      </w:r>
      <w:r w:rsidRPr="004D53DF">
        <w:rPr>
          <w:rFonts w:ascii="Arial" w:hAnsi="Arial" w:cs="Arial"/>
        </w:rPr>
        <w:t xml:space="preserve"> </w:t>
      </w:r>
    </w:p>
    <w:p w:rsidR="00295FCC" w:rsidRPr="004D53DF" w:rsidRDefault="009D6E73" w:rsidP="00D04B15">
      <w:pPr>
        <w:spacing w:after="120" w:line="250" w:lineRule="auto"/>
        <w:ind w:left="567" w:right="0" w:firstLine="556"/>
        <w:rPr>
          <w:rFonts w:ascii="Arial" w:hAnsi="Arial" w:cs="Arial"/>
        </w:rPr>
      </w:pPr>
      <w:r w:rsidRPr="004D53DF">
        <w:rPr>
          <w:rFonts w:ascii="Arial" w:hAnsi="Arial" w:cs="Arial"/>
        </w:rPr>
        <w:t xml:space="preserve"> El órgano responsable </w:t>
      </w:r>
      <w:r w:rsidRPr="006908C0">
        <w:rPr>
          <w:rFonts w:ascii="Arial" w:hAnsi="Arial" w:cs="Arial"/>
          <w:u w:val="single"/>
        </w:rPr>
        <w:t>recibirá el resultado del análisis</w:t>
      </w:r>
      <w:r w:rsidRPr="004D53DF">
        <w:rPr>
          <w:rFonts w:ascii="Arial" w:hAnsi="Arial" w:cs="Arial"/>
        </w:rPr>
        <w:t xml:space="preserve"> del conflicto de interés. A su vez, </w:t>
      </w:r>
      <w:r w:rsidRPr="006908C0">
        <w:rPr>
          <w:rFonts w:ascii="Arial" w:hAnsi="Arial" w:cs="Arial"/>
          <w:u w:val="single"/>
        </w:rPr>
        <w:t>lo hará llegar al órgano gestor del proyecto y subproyecto</w:t>
      </w:r>
      <w:r w:rsidRPr="004D53DF">
        <w:rPr>
          <w:rFonts w:ascii="Arial" w:hAnsi="Arial" w:cs="Arial"/>
        </w:rPr>
        <w:t xml:space="preserve"> en el que se integre la actuación en el sistema de información de gestión del Plan de Recuperación, Transformación y Resiliencia. </w:t>
      </w:r>
    </w:p>
    <w:p w:rsidR="00295FCC" w:rsidRPr="004D53DF" w:rsidRDefault="009D6E73" w:rsidP="00D04B15">
      <w:pPr>
        <w:spacing w:after="120" w:line="250" w:lineRule="auto"/>
        <w:ind w:left="567" w:right="0" w:firstLine="556"/>
        <w:rPr>
          <w:rFonts w:ascii="Arial" w:hAnsi="Arial" w:cs="Arial"/>
        </w:rPr>
      </w:pPr>
      <w:r w:rsidRPr="004D53DF">
        <w:rPr>
          <w:rFonts w:ascii="Arial" w:hAnsi="Arial" w:cs="Arial"/>
        </w:rPr>
        <w:t xml:space="preserve">Así mismo, </w:t>
      </w:r>
      <w:r w:rsidRPr="006908C0">
        <w:rPr>
          <w:rFonts w:ascii="Arial" w:hAnsi="Arial" w:cs="Arial"/>
          <w:u w:val="single"/>
        </w:rPr>
        <w:t>el resultado del análisis será trasladado</w:t>
      </w:r>
      <w:r w:rsidRPr="004D53DF">
        <w:rPr>
          <w:rFonts w:ascii="Arial" w:hAnsi="Arial" w:cs="Arial"/>
        </w:rPr>
        <w:t xml:space="preserve"> por el órgano responsable </w:t>
      </w:r>
      <w:r w:rsidRPr="006908C0">
        <w:rPr>
          <w:rFonts w:ascii="Arial" w:hAnsi="Arial" w:cs="Arial"/>
          <w:u w:val="single"/>
        </w:rPr>
        <w:t>a las personas sujetas al análisis del riesgo del conflicto de intereses</w:t>
      </w:r>
      <w:r w:rsidRPr="004D53DF">
        <w:rPr>
          <w:rFonts w:ascii="Arial" w:hAnsi="Arial" w:cs="Arial"/>
        </w:rPr>
        <w:t xml:space="preserve">, </w:t>
      </w:r>
      <w:r w:rsidRPr="00F66DA9">
        <w:rPr>
          <w:rFonts w:ascii="Arial" w:hAnsi="Arial" w:cs="Arial"/>
        </w:rPr>
        <w:t xml:space="preserve">a fin de que </w:t>
      </w:r>
      <w:r w:rsidRPr="006908C0">
        <w:rPr>
          <w:rFonts w:ascii="Arial" w:hAnsi="Arial" w:cs="Arial"/>
          <w:u w:val="single"/>
        </w:rPr>
        <w:t>se abstengan</w:t>
      </w:r>
      <w:r w:rsidRPr="00F66DA9">
        <w:rPr>
          <w:rFonts w:ascii="Arial" w:hAnsi="Arial" w:cs="Arial"/>
        </w:rPr>
        <w:t xml:space="preserve"> si, con respecto a las mismas, ha sido</w:t>
      </w:r>
      <w:r w:rsidRPr="004D53DF">
        <w:rPr>
          <w:rFonts w:ascii="Arial" w:hAnsi="Arial" w:cs="Arial"/>
        </w:rPr>
        <w:t xml:space="preserve"> </w:t>
      </w:r>
      <w:r w:rsidRPr="00F66DA9">
        <w:rPr>
          <w:rFonts w:ascii="Arial" w:hAnsi="Arial" w:cs="Arial"/>
        </w:rPr>
        <w:t xml:space="preserve">identificada la existencia de una situación de riesgo </w:t>
      </w:r>
      <w:r w:rsidRPr="004D53DF">
        <w:rPr>
          <w:rFonts w:ascii="Arial" w:hAnsi="Arial" w:cs="Arial"/>
        </w:rPr>
        <w:t xml:space="preserve">de conflicto de interés, señalizada con una bandera roja. </w:t>
      </w:r>
    </w:p>
    <w:p w:rsidR="00295FCC" w:rsidRPr="004D53DF" w:rsidRDefault="009D6E73" w:rsidP="00D04B15">
      <w:pPr>
        <w:spacing w:after="120" w:line="250" w:lineRule="auto"/>
        <w:ind w:left="567" w:right="0" w:firstLine="556"/>
        <w:rPr>
          <w:rFonts w:ascii="Arial" w:hAnsi="Arial" w:cs="Arial"/>
        </w:rPr>
      </w:pPr>
      <w:r w:rsidRPr="00F66DA9">
        <w:rPr>
          <w:rFonts w:ascii="Arial" w:hAnsi="Arial" w:cs="Arial"/>
        </w:rPr>
        <w:t>Si la persona afectad</w:t>
      </w:r>
      <w:r w:rsidRPr="004D53DF">
        <w:rPr>
          <w:rFonts w:ascii="Arial" w:hAnsi="Arial" w:cs="Arial"/>
        </w:rPr>
        <w:t xml:space="preserve">a por la identificación de un riesgo de conflicto de interés </w:t>
      </w:r>
      <w:r w:rsidRPr="00F66DA9">
        <w:rPr>
          <w:rFonts w:ascii="Arial" w:hAnsi="Arial" w:cs="Arial"/>
        </w:rPr>
        <w:t>no reconociera la validez de la identificación</w:t>
      </w:r>
      <w:r w:rsidRPr="004D53DF">
        <w:rPr>
          <w:rFonts w:ascii="Arial" w:hAnsi="Arial" w:cs="Arial"/>
        </w:rPr>
        <w:t xml:space="preserve">, dispondrá de un plazo de alegaciones de dos días hábiles para motivar su renuncia a la abstención, siendo su superior jerárquico quien resolverá, tras este trámite, en el plazo de otros dos días hábiles. </w:t>
      </w:r>
    </w:p>
    <w:p w:rsidR="00295FCC" w:rsidRPr="004D53DF" w:rsidRDefault="009D6E73" w:rsidP="00D04B15">
      <w:pPr>
        <w:spacing w:after="120" w:line="250" w:lineRule="auto"/>
        <w:ind w:left="567" w:right="0" w:firstLine="556"/>
        <w:rPr>
          <w:rFonts w:ascii="Arial" w:hAnsi="Arial" w:cs="Arial"/>
        </w:rPr>
      </w:pPr>
      <w:r w:rsidRPr="004D53DF">
        <w:rPr>
          <w:rFonts w:ascii="Arial" w:hAnsi="Arial" w:cs="Arial"/>
        </w:rPr>
        <w:t xml:space="preserve">No obstante lo anterior, de oficio o a instancia del superior jerárquico correspondiente, el órgano responsable del análisis podrá acudir al Comité Antifraude creado al amparo de los planes antifraude previstos en la Orden HFP/1030/2021, de 29 de septiembre, por la que se configura el sistema de gestión del Plan de Recuperación, Transformación y Resiliencia, para solicitar la emisión de un informe dentro del plazo de dos días hábiles tras el trámite de alegaciones, sobre si procede o no la aplicación del supuesto de abstención en el caso concreto. </w:t>
      </w:r>
    </w:p>
    <w:p w:rsidR="00295FCC" w:rsidRPr="004D53DF" w:rsidRDefault="009D6E73" w:rsidP="00D04B15">
      <w:pPr>
        <w:spacing w:after="240" w:line="250" w:lineRule="auto"/>
        <w:ind w:left="567" w:right="0" w:firstLine="556"/>
        <w:rPr>
          <w:rFonts w:ascii="Arial" w:hAnsi="Arial" w:cs="Arial"/>
        </w:rPr>
      </w:pPr>
      <w:r w:rsidRPr="004D53DF">
        <w:rPr>
          <w:rFonts w:ascii="Arial" w:hAnsi="Arial" w:cs="Arial"/>
        </w:rPr>
        <w:t xml:space="preserve"> El análisis del riesgo de conflicto de interés se volverá a llevar a cabo respecto de quien sustituya a la persona que, en cumplimiento de este proceso, se haya abstenido en el procedimiento, aplicándose de nuevo el análisis descrito. </w:t>
      </w:r>
    </w:p>
    <w:p w:rsidR="00295FCC" w:rsidRPr="004D53DF" w:rsidRDefault="009D6E73" w:rsidP="00D04B15">
      <w:pPr>
        <w:pStyle w:val="Prrafodelista"/>
        <w:numPr>
          <w:ilvl w:val="0"/>
          <w:numId w:val="15"/>
        </w:numPr>
        <w:spacing w:after="120" w:line="259" w:lineRule="auto"/>
        <w:ind w:left="709" w:right="0" w:hanging="142"/>
        <w:contextualSpacing w:val="0"/>
        <w:rPr>
          <w:rFonts w:ascii="Arial" w:hAnsi="Arial" w:cs="Arial"/>
        </w:rPr>
      </w:pPr>
      <w:r w:rsidRPr="004D53DF">
        <w:rPr>
          <w:rFonts w:ascii="Arial" w:hAnsi="Arial" w:cs="Arial"/>
        </w:rPr>
        <w:t xml:space="preserve"> </w:t>
      </w:r>
      <w:r w:rsidRPr="006908C0">
        <w:rPr>
          <w:rFonts w:ascii="Arial" w:hAnsi="Arial" w:cs="Arial"/>
          <w:b/>
          <w:u w:val="single" w:color="000000"/>
        </w:rPr>
        <w:t>Asesoramiento</w:t>
      </w:r>
      <w:r w:rsidRPr="004D53DF">
        <w:rPr>
          <w:rFonts w:ascii="Arial" w:hAnsi="Arial" w:cs="Arial"/>
        </w:rPr>
        <w:t xml:space="preserve">: </w:t>
      </w:r>
      <w:r w:rsidRPr="006908C0">
        <w:rPr>
          <w:rFonts w:ascii="Arial" w:hAnsi="Arial" w:cs="Arial"/>
          <w:u w:color="000000"/>
        </w:rPr>
        <w:t>Adscrita a la Intervención General de la Administración</w:t>
      </w:r>
      <w:r w:rsidRPr="006908C0">
        <w:rPr>
          <w:rFonts w:ascii="Arial" w:hAnsi="Arial" w:cs="Arial"/>
        </w:rPr>
        <w:t xml:space="preserve"> </w:t>
      </w:r>
      <w:r w:rsidRPr="006908C0">
        <w:rPr>
          <w:rFonts w:ascii="Arial" w:hAnsi="Arial" w:cs="Arial"/>
          <w:u w:color="000000"/>
        </w:rPr>
        <w:t>del Estado existirá una unidad especializada en asesoramiento en materia</w:t>
      </w:r>
      <w:r w:rsidRPr="006908C0">
        <w:rPr>
          <w:rFonts w:ascii="Arial" w:hAnsi="Arial" w:cs="Arial"/>
        </w:rPr>
        <w:t xml:space="preserve"> </w:t>
      </w:r>
      <w:r w:rsidRPr="006908C0">
        <w:rPr>
          <w:rFonts w:ascii="Arial" w:hAnsi="Arial" w:cs="Arial"/>
          <w:u w:color="000000"/>
        </w:rPr>
        <w:t>de análisis del riesgo de conflicto de interés.</w:t>
      </w:r>
      <w:r w:rsidRPr="004D53DF">
        <w:rPr>
          <w:rFonts w:ascii="Arial" w:hAnsi="Arial" w:cs="Arial"/>
        </w:rPr>
        <w:t xml:space="preserve"> </w:t>
      </w:r>
    </w:p>
    <w:p w:rsidR="00295FCC" w:rsidRPr="00D04B15" w:rsidRDefault="009D6E73" w:rsidP="00D04B15">
      <w:pPr>
        <w:pStyle w:val="Prrafodelista"/>
        <w:numPr>
          <w:ilvl w:val="0"/>
          <w:numId w:val="15"/>
        </w:numPr>
        <w:spacing w:after="120" w:line="259" w:lineRule="auto"/>
        <w:ind w:left="709" w:right="0" w:hanging="142"/>
        <w:contextualSpacing w:val="0"/>
        <w:rPr>
          <w:rFonts w:ascii="Arial" w:hAnsi="Arial" w:cs="Arial"/>
          <w:b/>
          <w:u w:val="single" w:color="000000"/>
        </w:rPr>
      </w:pPr>
      <w:r w:rsidRPr="004D53DF">
        <w:rPr>
          <w:rFonts w:ascii="Arial" w:hAnsi="Arial" w:cs="Arial"/>
        </w:rPr>
        <w:t xml:space="preserve"> </w:t>
      </w:r>
      <w:r w:rsidRPr="006908C0">
        <w:rPr>
          <w:rFonts w:ascii="Arial" w:hAnsi="Arial" w:cs="Arial"/>
          <w:b/>
          <w:u w:val="single" w:color="000000"/>
        </w:rPr>
        <w:t>Desarrollo</w:t>
      </w:r>
      <w:r w:rsidRPr="00D04B15">
        <w:rPr>
          <w:rFonts w:ascii="Arial" w:hAnsi="Arial" w:cs="Arial"/>
          <w:b/>
          <w:u w:color="000000"/>
        </w:rPr>
        <w:t>:</w:t>
      </w:r>
      <w:r w:rsidRPr="00D04B15">
        <w:rPr>
          <w:rFonts w:ascii="Arial" w:hAnsi="Arial" w:cs="Arial"/>
          <w:u w:color="000000"/>
        </w:rPr>
        <w:t xml:space="preserve"> Mediante Orden de la persona titular del Ministerio de Hacienda y Función Pública se regularán todos aquéllos aspectos que resulten necesarios para la aplicación de la presente Disposición adicional. En el B.O.E. del día 25 de enero de 2023 se ha publicado la Orden HF</w:t>
      </w:r>
      <w:r w:rsidR="00220805">
        <w:rPr>
          <w:rFonts w:ascii="Arial" w:hAnsi="Arial" w:cs="Arial"/>
          <w:u w:color="000000"/>
        </w:rPr>
        <w:t>P</w:t>
      </w:r>
      <w:r w:rsidRPr="00D04B15">
        <w:rPr>
          <w:rFonts w:ascii="Arial" w:hAnsi="Arial" w:cs="Arial"/>
          <w:u w:color="000000"/>
        </w:rPr>
        <w:t>/55/2023, de 24 de enero, relativa al análisis sistemático del riesgo de conflicto de interés en los procedimientos que ejecutan el Plan de Recuperación, Transformación y Resiliencia.</w:t>
      </w:r>
      <w:r w:rsidRPr="00D04B15">
        <w:rPr>
          <w:rFonts w:ascii="Arial" w:hAnsi="Arial" w:cs="Arial"/>
          <w:b/>
          <w:u w:val="single" w:color="000000"/>
        </w:rPr>
        <w:t xml:space="preserve"> </w:t>
      </w:r>
    </w:p>
    <w:p w:rsidR="00306294" w:rsidRDefault="009D6E73" w:rsidP="00974C64">
      <w:pPr>
        <w:spacing w:after="240" w:line="250" w:lineRule="auto"/>
        <w:ind w:left="567" w:right="0" w:firstLine="556"/>
        <w:rPr>
          <w:rFonts w:ascii="Arial" w:hAnsi="Arial" w:cs="Arial"/>
          <w:u w:val="single"/>
        </w:rPr>
      </w:pPr>
      <w:r w:rsidRPr="004D53DF">
        <w:rPr>
          <w:rFonts w:ascii="Arial" w:hAnsi="Arial" w:cs="Arial"/>
        </w:rPr>
        <w:t xml:space="preserve">Lo establecido en la </w:t>
      </w:r>
      <w:r w:rsidRPr="00974C64">
        <w:rPr>
          <w:rFonts w:ascii="Arial" w:hAnsi="Arial" w:cs="Arial"/>
          <w:u w:val="single"/>
        </w:rPr>
        <w:t xml:space="preserve">presente disposición adicional podrá ser de aplicación a la ejecución </w:t>
      </w:r>
      <w:r w:rsidR="00306294">
        <w:rPr>
          <w:rFonts w:ascii="Arial" w:hAnsi="Arial" w:cs="Arial"/>
          <w:u w:val="single"/>
        </w:rPr>
        <w:t xml:space="preserve">  </w:t>
      </w:r>
      <w:r w:rsidRPr="00974C64">
        <w:rPr>
          <w:rFonts w:ascii="Arial" w:hAnsi="Arial" w:cs="Arial"/>
          <w:u w:val="single"/>
        </w:rPr>
        <w:t xml:space="preserve">de </w:t>
      </w:r>
      <w:r w:rsidR="00306294">
        <w:rPr>
          <w:rFonts w:ascii="Arial" w:hAnsi="Arial" w:cs="Arial"/>
          <w:u w:val="single"/>
        </w:rPr>
        <w:t xml:space="preserve"> </w:t>
      </w:r>
      <w:r w:rsidRPr="00974C64">
        <w:rPr>
          <w:rFonts w:ascii="Arial" w:hAnsi="Arial" w:cs="Arial"/>
          <w:u w:val="single"/>
        </w:rPr>
        <w:t xml:space="preserve">fondos </w:t>
      </w:r>
      <w:r w:rsidR="00306294">
        <w:rPr>
          <w:rFonts w:ascii="Arial" w:hAnsi="Arial" w:cs="Arial"/>
          <w:u w:val="single"/>
        </w:rPr>
        <w:t xml:space="preserve"> </w:t>
      </w:r>
      <w:r w:rsidRPr="00974C64">
        <w:rPr>
          <w:rFonts w:ascii="Arial" w:hAnsi="Arial" w:cs="Arial"/>
          <w:u w:val="single"/>
        </w:rPr>
        <w:t>europeos</w:t>
      </w:r>
      <w:r w:rsidR="00306294">
        <w:rPr>
          <w:rFonts w:ascii="Arial" w:hAnsi="Arial" w:cs="Arial"/>
          <w:u w:val="single"/>
        </w:rPr>
        <w:t xml:space="preserve">  </w:t>
      </w:r>
      <w:r w:rsidRPr="00974C64">
        <w:rPr>
          <w:rFonts w:ascii="Arial" w:hAnsi="Arial" w:cs="Arial"/>
          <w:u w:val="single"/>
        </w:rPr>
        <w:t xml:space="preserve"> distintos</w:t>
      </w:r>
      <w:r w:rsidR="00306294">
        <w:rPr>
          <w:rFonts w:ascii="Arial" w:hAnsi="Arial" w:cs="Arial"/>
          <w:u w:val="single"/>
        </w:rPr>
        <w:t xml:space="preserve"> </w:t>
      </w:r>
      <w:r w:rsidRPr="00974C64">
        <w:rPr>
          <w:rFonts w:ascii="Arial" w:hAnsi="Arial" w:cs="Arial"/>
          <w:u w:val="single"/>
        </w:rPr>
        <w:t xml:space="preserve"> de</w:t>
      </w:r>
      <w:r w:rsidR="00306294">
        <w:rPr>
          <w:rFonts w:ascii="Arial" w:hAnsi="Arial" w:cs="Arial"/>
          <w:u w:val="single"/>
        </w:rPr>
        <w:t xml:space="preserve"> </w:t>
      </w:r>
      <w:r w:rsidRPr="00974C64">
        <w:rPr>
          <w:rFonts w:ascii="Arial" w:hAnsi="Arial" w:cs="Arial"/>
          <w:u w:val="single"/>
        </w:rPr>
        <w:t xml:space="preserve"> los </w:t>
      </w:r>
      <w:r w:rsidR="00306294">
        <w:rPr>
          <w:rFonts w:ascii="Arial" w:hAnsi="Arial" w:cs="Arial"/>
          <w:u w:val="single"/>
        </w:rPr>
        <w:t xml:space="preserve">  </w:t>
      </w:r>
      <w:r w:rsidRPr="00974C64">
        <w:rPr>
          <w:rFonts w:ascii="Arial" w:hAnsi="Arial" w:cs="Arial"/>
          <w:u w:val="single"/>
        </w:rPr>
        <w:t>relativos</w:t>
      </w:r>
      <w:r w:rsidR="00306294">
        <w:rPr>
          <w:rFonts w:ascii="Arial" w:hAnsi="Arial" w:cs="Arial"/>
          <w:u w:val="single"/>
        </w:rPr>
        <w:t xml:space="preserve"> </w:t>
      </w:r>
      <w:r w:rsidRPr="00974C64">
        <w:rPr>
          <w:rFonts w:ascii="Arial" w:hAnsi="Arial" w:cs="Arial"/>
          <w:u w:val="single"/>
        </w:rPr>
        <w:t xml:space="preserve"> al </w:t>
      </w:r>
      <w:r w:rsidR="00306294">
        <w:rPr>
          <w:rFonts w:ascii="Arial" w:hAnsi="Arial" w:cs="Arial"/>
          <w:u w:val="single"/>
        </w:rPr>
        <w:t xml:space="preserve"> </w:t>
      </w:r>
      <w:r w:rsidRPr="00974C64">
        <w:rPr>
          <w:rFonts w:ascii="Arial" w:hAnsi="Arial" w:cs="Arial"/>
          <w:u w:val="single"/>
        </w:rPr>
        <w:t>Plan</w:t>
      </w:r>
      <w:r w:rsidR="00306294">
        <w:rPr>
          <w:rFonts w:ascii="Arial" w:hAnsi="Arial" w:cs="Arial"/>
          <w:u w:val="single"/>
        </w:rPr>
        <w:t xml:space="preserve">  </w:t>
      </w:r>
      <w:r w:rsidRPr="00974C64">
        <w:rPr>
          <w:rFonts w:ascii="Arial" w:hAnsi="Arial" w:cs="Arial"/>
          <w:u w:val="single"/>
        </w:rPr>
        <w:t xml:space="preserve"> de </w:t>
      </w:r>
      <w:r w:rsidR="00306294">
        <w:rPr>
          <w:rFonts w:ascii="Arial" w:hAnsi="Arial" w:cs="Arial"/>
          <w:u w:val="single"/>
        </w:rPr>
        <w:t xml:space="preserve"> </w:t>
      </w:r>
      <w:r w:rsidRPr="00974C64">
        <w:rPr>
          <w:rFonts w:ascii="Arial" w:hAnsi="Arial" w:cs="Arial"/>
          <w:u w:val="single"/>
        </w:rPr>
        <w:t xml:space="preserve">Recuperación </w:t>
      </w:r>
    </w:p>
    <w:p w:rsidR="00306294" w:rsidRDefault="00306294" w:rsidP="00974C64">
      <w:pPr>
        <w:spacing w:after="240" w:line="250" w:lineRule="auto"/>
        <w:ind w:left="567" w:right="0" w:firstLine="556"/>
        <w:rPr>
          <w:rFonts w:ascii="Arial" w:hAnsi="Arial" w:cs="Arial"/>
          <w:u w:val="single"/>
        </w:rPr>
      </w:pPr>
    </w:p>
    <w:p w:rsidR="00295FCC" w:rsidRPr="004D53DF" w:rsidRDefault="009D6E73" w:rsidP="00306294">
      <w:pPr>
        <w:spacing w:after="240" w:line="250" w:lineRule="auto"/>
        <w:ind w:left="567" w:right="0" w:firstLine="0"/>
        <w:rPr>
          <w:rFonts w:ascii="Arial" w:hAnsi="Arial" w:cs="Arial"/>
        </w:rPr>
      </w:pPr>
      <w:r w:rsidRPr="00974C64">
        <w:rPr>
          <w:rFonts w:ascii="Arial" w:hAnsi="Arial" w:cs="Arial"/>
          <w:u w:val="single"/>
        </w:rPr>
        <w:t>Transformación y Resiliencia</w:t>
      </w:r>
      <w:r w:rsidRPr="004D53DF">
        <w:rPr>
          <w:rFonts w:ascii="Arial" w:hAnsi="Arial" w:cs="Arial"/>
        </w:rPr>
        <w:t xml:space="preserve">, en caso de que por la normativa comunitaria reguladora de aquéllos resultara exigible. </w:t>
      </w:r>
    </w:p>
    <w:p w:rsidR="000629BC" w:rsidRPr="00A65207" w:rsidRDefault="009D6E73" w:rsidP="000629BC">
      <w:pPr>
        <w:pStyle w:val="Prrafodelista"/>
        <w:numPr>
          <w:ilvl w:val="0"/>
          <w:numId w:val="14"/>
        </w:numPr>
        <w:spacing w:after="120" w:line="250" w:lineRule="auto"/>
        <w:ind w:right="0"/>
        <w:contextualSpacing w:val="0"/>
        <w:rPr>
          <w:rFonts w:ascii="Arial" w:hAnsi="Arial" w:cs="Arial"/>
          <w:b/>
        </w:rPr>
      </w:pPr>
      <w:r>
        <w:t xml:space="preserve"> </w:t>
      </w:r>
      <w:r w:rsidR="000629BC">
        <w:rPr>
          <w:rFonts w:ascii="Arial" w:hAnsi="Arial" w:cs="Arial"/>
          <w:b/>
        </w:rPr>
        <w:t xml:space="preserve">REINTEGRO DE SUBVENCIONES A FAVOR DE LAS ENTIDADES LOCALES CONCEDIDAS EN EL MARCO DEL PLAN DE RECUPERACIÓN TRANSFORMACIÓN Y RESILIENCIA </w:t>
      </w:r>
      <w:r w:rsidR="000629BC" w:rsidRPr="00A65207">
        <w:rPr>
          <w:rFonts w:ascii="Arial" w:hAnsi="Arial" w:cs="Arial"/>
          <w:b/>
        </w:rPr>
        <w:t>(</w:t>
      </w:r>
      <w:r w:rsidR="000629BC">
        <w:rPr>
          <w:rFonts w:ascii="Arial" w:hAnsi="Arial" w:cs="Arial"/>
          <w:b/>
        </w:rPr>
        <w:t xml:space="preserve">Apartado 1 de la </w:t>
      </w:r>
      <w:r w:rsidR="000629BC" w:rsidRPr="00052BD2">
        <w:rPr>
          <w:rFonts w:ascii="Arial" w:hAnsi="Arial" w:cs="Arial"/>
          <w:b/>
        </w:rPr>
        <w:t xml:space="preserve">Disposición adicional </w:t>
      </w:r>
      <w:r w:rsidR="000629BC">
        <w:rPr>
          <w:rFonts w:ascii="Arial" w:hAnsi="Arial" w:cs="Arial"/>
          <w:b/>
        </w:rPr>
        <w:t>12</w:t>
      </w:r>
      <w:r w:rsidR="000629BC" w:rsidRPr="00052BD2">
        <w:rPr>
          <w:rFonts w:ascii="Arial" w:hAnsi="Arial" w:cs="Arial"/>
          <w:b/>
        </w:rPr>
        <w:t xml:space="preserve"> </w:t>
      </w:r>
      <w:r w:rsidR="00DC1DAE">
        <w:rPr>
          <w:rFonts w:ascii="Arial" w:hAnsi="Arial" w:cs="Arial"/>
          <w:b/>
        </w:rPr>
        <w:t>RDL</w:t>
      </w:r>
      <w:r w:rsidR="000629BC">
        <w:rPr>
          <w:rFonts w:ascii="Arial" w:hAnsi="Arial" w:cs="Arial"/>
          <w:b/>
        </w:rPr>
        <w:t xml:space="preserve"> 8/2023</w:t>
      </w:r>
      <w:r w:rsidR="000629BC" w:rsidRPr="00A65207">
        <w:rPr>
          <w:rFonts w:ascii="Arial" w:hAnsi="Arial" w:cs="Arial"/>
          <w:b/>
        </w:rPr>
        <w:t xml:space="preserve">)  </w:t>
      </w:r>
    </w:p>
    <w:p w:rsidR="006C574C" w:rsidRPr="00331617" w:rsidRDefault="006C574C" w:rsidP="00331617">
      <w:pPr>
        <w:spacing w:after="120" w:line="250" w:lineRule="auto"/>
        <w:ind w:left="11" w:right="0" w:firstLine="556"/>
        <w:rPr>
          <w:rFonts w:ascii="Arial" w:hAnsi="Arial" w:cs="Arial"/>
        </w:rPr>
      </w:pPr>
      <w:r w:rsidRPr="00331617">
        <w:rPr>
          <w:rFonts w:ascii="Arial" w:hAnsi="Arial" w:cs="Arial"/>
        </w:rPr>
        <w:t xml:space="preserve">Las subvenciones concedidas en el marco del Plan de Recuperación Transformación y Resiliencia a favor de entidades locales, entes locales supramunicipales que agrupen a varios municipios o agrupaciones de entidades locales, quedarán excluidas de la aplicación de los intereses de demora previstos en la Ley 38/2003, de 17 de noviembre, General de Subvenciones, a las cuantías a reintegrar como consecuencia de que el coste de las actuaciones financiadas haya sido inferior al importe subvencionado, siempre y cuando no concurran otras causas de reintegro. </w:t>
      </w:r>
    </w:p>
    <w:p w:rsidR="00F00165" w:rsidRDefault="006C574C" w:rsidP="00331617">
      <w:pPr>
        <w:spacing w:after="360" w:line="250" w:lineRule="auto"/>
        <w:ind w:left="11" w:right="0" w:firstLine="556"/>
        <w:rPr>
          <w:rFonts w:ascii="Arial" w:hAnsi="Arial" w:cs="Arial"/>
        </w:rPr>
      </w:pPr>
      <w:r w:rsidRPr="00331617">
        <w:rPr>
          <w:rFonts w:ascii="Arial" w:hAnsi="Arial" w:cs="Arial"/>
        </w:rPr>
        <w:t xml:space="preserve">Esta disposición resultará de aplicación a todas las subvenciones concedidas en el marco del Plan de Recuperación Transformación y Resiliencia cuyo reintegro no se haya producido a la entrada en vigor del </w:t>
      </w:r>
      <w:r w:rsidR="00DC1DAE">
        <w:rPr>
          <w:rFonts w:ascii="Arial" w:hAnsi="Arial" w:cs="Arial"/>
        </w:rPr>
        <w:t>RDL</w:t>
      </w:r>
      <w:r w:rsidRPr="00331617">
        <w:rPr>
          <w:rFonts w:ascii="Arial" w:hAnsi="Arial" w:cs="Arial"/>
        </w:rPr>
        <w:t xml:space="preserve"> 8/2023 (29 de diciembre de 2023), con independencia de su fecha de concesión</w:t>
      </w:r>
      <w:r w:rsidR="00F00165">
        <w:rPr>
          <w:rFonts w:ascii="Arial" w:hAnsi="Arial" w:cs="Arial"/>
        </w:rPr>
        <w:t>.</w:t>
      </w: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04"/>
      </w:tblGrid>
      <w:tr w:rsidR="00F00165" w:rsidTr="001B10EF">
        <w:tc>
          <w:tcPr>
            <w:tcW w:w="9204" w:type="dxa"/>
            <w:tcBorders>
              <w:top w:val="single" w:sz="4" w:space="0" w:color="auto"/>
              <w:left w:val="nil"/>
              <w:bottom w:val="single" w:sz="4" w:space="0" w:color="auto"/>
              <w:right w:val="nil"/>
            </w:tcBorders>
            <w:shd w:val="clear" w:color="auto" w:fill="FFFFFF" w:themeFill="background1"/>
          </w:tcPr>
          <w:p w:rsidR="00F00165" w:rsidRPr="00E30FF9" w:rsidRDefault="00F00165" w:rsidP="00F00165">
            <w:pPr>
              <w:spacing w:before="240" w:after="240" w:line="250" w:lineRule="auto"/>
              <w:ind w:left="284" w:right="0" w:hanging="284"/>
              <w:jc w:val="center"/>
              <w:rPr>
                <w:rFonts w:ascii="Arial" w:hAnsi="Arial" w:cs="Arial"/>
              </w:rPr>
            </w:pPr>
            <w:r>
              <w:rPr>
                <w:rFonts w:ascii="Arial" w:hAnsi="Arial" w:cs="Arial"/>
                <w:b/>
                <w:color w:val="auto"/>
                <w:u w:color="0000FF"/>
              </w:rPr>
              <w:t>5.- INDICADORES DIVERSOS</w:t>
            </w:r>
          </w:p>
        </w:tc>
      </w:tr>
    </w:tbl>
    <w:p w:rsidR="00F00165" w:rsidRPr="00E30FF9" w:rsidRDefault="00F00165" w:rsidP="00F00165">
      <w:pPr>
        <w:spacing w:line="250" w:lineRule="auto"/>
        <w:ind w:left="11" w:right="0" w:hanging="11"/>
        <w:rPr>
          <w:rFonts w:ascii="Arial" w:hAnsi="Arial" w:cs="Arial"/>
        </w:rPr>
      </w:pPr>
      <w:r w:rsidRPr="00E30FF9">
        <w:rPr>
          <w:rFonts w:ascii="Arial" w:hAnsi="Arial" w:cs="Arial"/>
        </w:rPr>
        <w:t xml:space="preserve"> </w:t>
      </w:r>
    </w:p>
    <w:p w:rsidR="00783584" w:rsidRPr="00F00165" w:rsidRDefault="009B64C8" w:rsidP="00F00165">
      <w:pPr>
        <w:spacing w:after="120" w:line="250" w:lineRule="auto"/>
        <w:ind w:left="11" w:right="0" w:firstLine="556"/>
        <w:rPr>
          <w:rFonts w:ascii="Arial" w:hAnsi="Arial" w:cs="Arial"/>
        </w:rPr>
      </w:pPr>
      <w:r w:rsidRPr="00F00165">
        <w:rPr>
          <w:rFonts w:ascii="Arial" w:hAnsi="Arial" w:cs="Arial"/>
        </w:rPr>
        <w:t xml:space="preserve">Hasta tanto en cuanto no se </w:t>
      </w:r>
      <w:r w:rsidR="009B4EDF" w:rsidRPr="00F00165">
        <w:rPr>
          <w:rFonts w:ascii="Arial" w:hAnsi="Arial" w:cs="Arial"/>
        </w:rPr>
        <w:t>fijen</w:t>
      </w:r>
      <w:r w:rsidRPr="00F00165">
        <w:rPr>
          <w:rFonts w:ascii="Arial" w:hAnsi="Arial" w:cs="Arial"/>
        </w:rPr>
        <w:t xml:space="preserve"> </w:t>
      </w:r>
      <w:r w:rsidR="009B4EDF" w:rsidRPr="00F00165">
        <w:rPr>
          <w:rFonts w:ascii="Arial" w:hAnsi="Arial" w:cs="Arial"/>
        </w:rPr>
        <w:t xml:space="preserve">por </w:t>
      </w:r>
      <w:r w:rsidRPr="00F00165">
        <w:rPr>
          <w:rFonts w:ascii="Arial" w:hAnsi="Arial" w:cs="Arial"/>
        </w:rPr>
        <w:t>la Ley de Presupuestos</w:t>
      </w:r>
      <w:r w:rsidR="009B4EDF" w:rsidRPr="00F00165">
        <w:rPr>
          <w:rFonts w:ascii="Arial" w:hAnsi="Arial" w:cs="Arial"/>
        </w:rPr>
        <w:t xml:space="preserve"> Generales del Estado para 2024</w:t>
      </w:r>
      <w:r w:rsidRPr="00F00165">
        <w:rPr>
          <w:rFonts w:ascii="Arial" w:hAnsi="Arial" w:cs="Arial"/>
        </w:rPr>
        <w:t xml:space="preserve"> las nuevas cuantías imputables a los indicadores que se detallan seguidamente, siguen siendo aplicables para 2024 l</w:t>
      </w:r>
      <w:r w:rsidR="009B4EDF" w:rsidRPr="00F00165">
        <w:rPr>
          <w:rFonts w:ascii="Arial" w:hAnsi="Arial" w:cs="Arial"/>
        </w:rPr>
        <w:t>os importes</w:t>
      </w:r>
      <w:r w:rsidRPr="00F00165">
        <w:rPr>
          <w:rFonts w:ascii="Arial" w:hAnsi="Arial" w:cs="Arial"/>
        </w:rPr>
        <w:t xml:space="preserve"> establecid</w:t>
      </w:r>
      <w:r w:rsidR="009B4EDF" w:rsidRPr="00F00165">
        <w:rPr>
          <w:rFonts w:ascii="Arial" w:hAnsi="Arial" w:cs="Arial"/>
        </w:rPr>
        <w:t>o</w:t>
      </w:r>
      <w:r w:rsidRPr="00F00165">
        <w:rPr>
          <w:rFonts w:ascii="Arial" w:hAnsi="Arial" w:cs="Arial"/>
        </w:rPr>
        <w:t>s para el año 2023:</w:t>
      </w:r>
    </w:p>
    <w:p w:rsidR="00295FCC" w:rsidRPr="00F00165" w:rsidRDefault="009D6E73" w:rsidP="00F00165">
      <w:pPr>
        <w:spacing w:after="120" w:line="250" w:lineRule="auto"/>
        <w:ind w:left="652" w:right="142" w:hanging="11"/>
        <w:rPr>
          <w:rFonts w:ascii="Arial" w:hAnsi="Arial" w:cs="Arial"/>
        </w:rPr>
      </w:pPr>
      <w:r w:rsidRPr="00F00165">
        <w:rPr>
          <w:rFonts w:ascii="Arial" w:hAnsi="Arial" w:cs="Arial"/>
          <w:b/>
        </w:rPr>
        <w:t>Interés legal del dinero para 202</w:t>
      </w:r>
      <w:r w:rsidR="009B64C8" w:rsidRPr="00F00165">
        <w:rPr>
          <w:rFonts w:ascii="Arial" w:hAnsi="Arial" w:cs="Arial"/>
          <w:b/>
        </w:rPr>
        <w:t>4</w:t>
      </w:r>
      <w:r w:rsidRPr="00F00165">
        <w:rPr>
          <w:rFonts w:ascii="Arial" w:hAnsi="Arial" w:cs="Arial"/>
        </w:rPr>
        <w:t xml:space="preserve"> (Disposición adicional 42 </w:t>
      </w:r>
      <w:r w:rsidR="00DC1DAE">
        <w:rPr>
          <w:rFonts w:ascii="Arial" w:hAnsi="Arial" w:cs="Arial"/>
        </w:rPr>
        <w:t>LPGE-P 2024</w:t>
      </w:r>
      <w:r w:rsidRPr="00F00165">
        <w:rPr>
          <w:rFonts w:ascii="Arial" w:hAnsi="Arial" w:cs="Arial"/>
        </w:rPr>
        <w:t xml:space="preserve">)  </w:t>
      </w:r>
    </w:p>
    <w:p w:rsidR="00295FCC" w:rsidRPr="00F00165" w:rsidRDefault="009D6E73" w:rsidP="00845581">
      <w:pPr>
        <w:numPr>
          <w:ilvl w:val="0"/>
          <w:numId w:val="2"/>
        </w:numPr>
        <w:spacing w:after="120" w:line="250" w:lineRule="auto"/>
        <w:ind w:left="1361" w:right="204" w:hanging="357"/>
        <w:rPr>
          <w:rFonts w:ascii="Arial" w:hAnsi="Arial" w:cs="Arial"/>
        </w:rPr>
      </w:pPr>
      <w:r w:rsidRPr="00F00165">
        <w:rPr>
          <w:rFonts w:ascii="Arial" w:hAnsi="Arial" w:cs="Arial"/>
        </w:rPr>
        <w:t xml:space="preserve">De conformidad con lo dispuesto en el artículo 1 de la Ley 24/1984, de 29 de junio, sobre modificación del </w:t>
      </w:r>
      <w:r w:rsidRPr="00F00165">
        <w:rPr>
          <w:rFonts w:ascii="Arial" w:hAnsi="Arial" w:cs="Arial"/>
          <w:u w:val="single" w:color="000000"/>
        </w:rPr>
        <w:t>tipo de interés legal del dinero</w:t>
      </w:r>
      <w:r w:rsidRPr="00F00165">
        <w:rPr>
          <w:rFonts w:ascii="Arial" w:hAnsi="Arial" w:cs="Arial"/>
        </w:rPr>
        <w:t>, éste queda establecido en el 3,25 por ciento hasta el 31 de diciembre del año 202</w:t>
      </w:r>
      <w:r w:rsidR="009B64C8" w:rsidRPr="00F00165">
        <w:rPr>
          <w:rFonts w:ascii="Arial" w:hAnsi="Arial" w:cs="Arial"/>
        </w:rPr>
        <w:t>4</w:t>
      </w:r>
      <w:r w:rsidRPr="00F00165">
        <w:rPr>
          <w:rFonts w:ascii="Arial" w:hAnsi="Arial" w:cs="Arial"/>
        </w:rPr>
        <w:t xml:space="preserve"> </w:t>
      </w:r>
    </w:p>
    <w:p w:rsidR="00295FCC" w:rsidRPr="00F00165" w:rsidRDefault="009D6E73" w:rsidP="00845581">
      <w:pPr>
        <w:numPr>
          <w:ilvl w:val="0"/>
          <w:numId w:val="2"/>
        </w:numPr>
        <w:spacing w:after="120" w:line="250" w:lineRule="auto"/>
        <w:ind w:left="1361" w:right="204" w:hanging="357"/>
        <w:rPr>
          <w:rFonts w:ascii="Arial" w:hAnsi="Arial" w:cs="Arial"/>
        </w:rPr>
      </w:pPr>
      <w:r w:rsidRPr="00F00165">
        <w:rPr>
          <w:rFonts w:ascii="Arial" w:hAnsi="Arial" w:cs="Arial"/>
        </w:rPr>
        <w:t xml:space="preserve">Durante el mismo periodo, el </w:t>
      </w:r>
      <w:r w:rsidRPr="00F00165">
        <w:rPr>
          <w:rFonts w:ascii="Arial" w:hAnsi="Arial" w:cs="Arial"/>
          <w:u w:val="single" w:color="000000"/>
        </w:rPr>
        <w:t>interés de demora</w:t>
      </w:r>
      <w:r w:rsidRPr="00F00165">
        <w:rPr>
          <w:rFonts w:ascii="Arial" w:hAnsi="Arial" w:cs="Arial"/>
        </w:rPr>
        <w:t xml:space="preserve"> a que se refiere al artículo 26.6 de la Ley 58/2003, de 17 de diciembre, General Tributaria, será el 4,0625 por ciento. </w:t>
      </w:r>
    </w:p>
    <w:p w:rsidR="00F00165" w:rsidRDefault="009D6E73" w:rsidP="00F00165">
      <w:pPr>
        <w:numPr>
          <w:ilvl w:val="0"/>
          <w:numId w:val="2"/>
        </w:numPr>
        <w:spacing w:after="240" w:line="250" w:lineRule="auto"/>
        <w:ind w:left="1361" w:right="204" w:hanging="357"/>
        <w:rPr>
          <w:rFonts w:ascii="Arial" w:hAnsi="Arial" w:cs="Arial"/>
        </w:rPr>
      </w:pPr>
      <w:r w:rsidRPr="00F00165">
        <w:rPr>
          <w:rFonts w:ascii="Arial" w:hAnsi="Arial" w:cs="Arial"/>
        </w:rPr>
        <w:t xml:space="preserve">Durante el mismo periodo, el interés de demora a que se refiere el artículo 38.2 de Ley 38/2003, de 17 de noviembre, General de Subvenciones, será el 4,0625 por ciento. </w:t>
      </w:r>
    </w:p>
    <w:p w:rsidR="00295FCC" w:rsidRPr="00F00165" w:rsidRDefault="009D6E73" w:rsidP="00F00165">
      <w:pPr>
        <w:spacing w:after="120" w:line="250" w:lineRule="auto"/>
        <w:ind w:left="652" w:right="142" w:hanging="11"/>
        <w:rPr>
          <w:rFonts w:ascii="Arial" w:hAnsi="Arial" w:cs="Arial"/>
          <w:b/>
        </w:rPr>
      </w:pPr>
      <w:r w:rsidRPr="00F00165">
        <w:rPr>
          <w:rFonts w:ascii="Arial" w:hAnsi="Arial" w:cs="Arial"/>
          <w:b/>
        </w:rPr>
        <w:t>Indicador público de rentas de efectos múltiples (IPREM) para</w:t>
      </w:r>
      <w:r w:rsidR="00F00165">
        <w:rPr>
          <w:rFonts w:ascii="Arial" w:hAnsi="Arial" w:cs="Arial"/>
          <w:b/>
        </w:rPr>
        <w:t xml:space="preserve"> </w:t>
      </w:r>
      <w:r w:rsidRPr="00F00165">
        <w:rPr>
          <w:rFonts w:ascii="Arial" w:hAnsi="Arial" w:cs="Arial"/>
          <w:b/>
        </w:rPr>
        <w:t>202</w:t>
      </w:r>
      <w:r w:rsidR="009B64C8" w:rsidRPr="00F00165">
        <w:rPr>
          <w:rFonts w:ascii="Arial" w:hAnsi="Arial" w:cs="Arial"/>
          <w:b/>
        </w:rPr>
        <w:t>4</w:t>
      </w:r>
      <w:r w:rsidRPr="00F00165">
        <w:rPr>
          <w:rFonts w:ascii="Arial" w:hAnsi="Arial" w:cs="Arial"/>
          <w:b/>
        </w:rPr>
        <w:t xml:space="preserve">. (Disposición adicional 90 </w:t>
      </w:r>
      <w:r w:rsidR="00042964">
        <w:rPr>
          <w:rFonts w:ascii="Arial" w:hAnsi="Arial" w:cs="Arial"/>
          <w:b/>
        </w:rPr>
        <w:t>LPGE-P 2024</w:t>
      </w:r>
      <w:r w:rsidRPr="00F00165">
        <w:rPr>
          <w:rFonts w:ascii="Arial" w:hAnsi="Arial" w:cs="Arial"/>
          <w:b/>
        </w:rPr>
        <w:t xml:space="preserve">) </w:t>
      </w:r>
    </w:p>
    <w:p w:rsidR="00295FCC" w:rsidRPr="00F00165" w:rsidRDefault="009D6E73">
      <w:pPr>
        <w:numPr>
          <w:ilvl w:val="0"/>
          <w:numId w:val="3"/>
        </w:numPr>
        <w:spacing w:after="118"/>
        <w:ind w:right="0" w:hanging="360"/>
        <w:rPr>
          <w:rFonts w:ascii="Arial" w:hAnsi="Arial" w:cs="Arial"/>
        </w:rPr>
      </w:pPr>
      <w:r w:rsidRPr="00F00165">
        <w:rPr>
          <w:rFonts w:ascii="Arial" w:hAnsi="Arial" w:cs="Arial"/>
        </w:rPr>
        <w:t xml:space="preserve">El IPREM diario, 20 euros. </w:t>
      </w:r>
    </w:p>
    <w:p w:rsidR="00295FCC" w:rsidRPr="00F00165" w:rsidRDefault="009D6E73">
      <w:pPr>
        <w:numPr>
          <w:ilvl w:val="0"/>
          <w:numId w:val="3"/>
        </w:numPr>
        <w:spacing w:after="121"/>
        <w:ind w:right="0" w:hanging="360"/>
        <w:rPr>
          <w:rFonts w:ascii="Arial" w:hAnsi="Arial" w:cs="Arial"/>
        </w:rPr>
      </w:pPr>
      <w:r w:rsidRPr="00F00165">
        <w:rPr>
          <w:rFonts w:ascii="Arial" w:hAnsi="Arial" w:cs="Arial"/>
        </w:rPr>
        <w:t xml:space="preserve">El IPREM mensual, 600 euros. </w:t>
      </w:r>
    </w:p>
    <w:p w:rsidR="00295FCC" w:rsidRPr="00F00165" w:rsidRDefault="009D6E73">
      <w:pPr>
        <w:numPr>
          <w:ilvl w:val="0"/>
          <w:numId w:val="3"/>
        </w:numPr>
        <w:spacing w:after="118"/>
        <w:ind w:right="0" w:hanging="360"/>
        <w:rPr>
          <w:rFonts w:ascii="Arial" w:hAnsi="Arial" w:cs="Arial"/>
        </w:rPr>
      </w:pPr>
      <w:r w:rsidRPr="00F00165">
        <w:rPr>
          <w:rFonts w:ascii="Arial" w:hAnsi="Arial" w:cs="Arial"/>
        </w:rPr>
        <w:t xml:space="preserve">El IPREM anual, 7.200 euros. </w:t>
      </w:r>
    </w:p>
    <w:p w:rsidR="00306294" w:rsidRDefault="009D6E73" w:rsidP="00CC30AE">
      <w:pPr>
        <w:numPr>
          <w:ilvl w:val="0"/>
          <w:numId w:val="3"/>
        </w:numPr>
        <w:spacing w:after="100" w:afterAutospacing="1" w:line="250" w:lineRule="auto"/>
        <w:ind w:left="1361" w:right="141" w:hanging="357"/>
        <w:rPr>
          <w:rFonts w:ascii="Arial" w:hAnsi="Arial" w:cs="Arial"/>
        </w:rPr>
      </w:pPr>
      <w:r w:rsidRPr="00F00165">
        <w:rPr>
          <w:rFonts w:ascii="Arial" w:hAnsi="Arial" w:cs="Arial"/>
        </w:rPr>
        <w:t>En los supuestos en que la referencia al salario mínimo interprofesional ha sido sustituida por la referencia al IPREM en aplicación de lo establecido en el Re</w:t>
      </w:r>
      <w:r w:rsidR="00274FAD" w:rsidRPr="00F00165">
        <w:rPr>
          <w:rFonts w:ascii="Arial" w:hAnsi="Arial" w:cs="Arial"/>
        </w:rPr>
        <w:t>al Decreto-ley 3/2004, de 25 de</w:t>
      </w:r>
      <w:r w:rsidRPr="00F00165">
        <w:rPr>
          <w:rFonts w:ascii="Arial" w:hAnsi="Arial" w:cs="Arial"/>
        </w:rPr>
        <w:t xml:space="preserve"> junio, la cuantía anual del IPREM será de 8.400 euros </w:t>
      </w:r>
      <w:r w:rsidR="00306294">
        <w:rPr>
          <w:rFonts w:ascii="Arial" w:hAnsi="Arial" w:cs="Arial"/>
        </w:rPr>
        <w:t xml:space="preserve">  </w:t>
      </w:r>
      <w:r w:rsidRPr="00F00165">
        <w:rPr>
          <w:rFonts w:ascii="Arial" w:hAnsi="Arial" w:cs="Arial"/>
        </w:rPr>
        <w:t>cuando</w:t>
      </w:r>
      <w:r w:rsidR="00306294">
        <w:rPr>
          <w:rFonts w:ascii="Arial" w:hAnsi="Arial" w:cs="Arial"/>
        </w:rPr>
        <w:t xml:space="preserve"> </w:t>
      </w:r>
      <w:r w:rsidRPr="00F00165">
        <w:rPr>
          <w:rFonts w:ascii="Arial" w:hAnsi="Arial" w:cs="Arial"/>
        </w:rPr>
        <w:t xml:space="preserve"> las</w:t>
      </w:r>
      <w:r w:rsidR="00306294">
        <w:rPr>
          <w:rFonts w:ascii="Arial" w:hAnsi="Arial" w:cs="Arial"/>
        </w:rPr>
        <w:t xml:space="preserve"> </w:t>
      </w:r>
      <w:r w:rsidRPr="00F00165">
        <w:rPr>
          <w:rFonts w:ascii="Arial" w:hAnsi="Arial" w:cs="Arial"/>
        </w:rPr>
        <w:t xml:space="preserve"> correspondientes</w:t>
      </w:r>
      <w:r w:rsidR="00306294">
        <w:rPr>
          <w:rFonts w:ascii="Arial" w:hAnsi="Arial" w:cs="Arial"/>
        </w:rPr>
        <w:t xml:space="preserve"> </w:t>
      </w:r>
      <w:r w:rsidRPr="00F00165">
        <w:rPr>
          <w:rFonts w:ascii="Arial" w:hAnsi="Arial" w:cs="Arial"/>
        </w:rPr>
        <w:t xml:space="preserve"> normas </w:t>
      </w:r>
      <w:r w:rsidR="00306294">
        <w:rPr>
          <w:rFonts w:ascii="Arial" w:hAnsi="Arial" w:cs="Arial"/>
        </w:rPr>
        <w:t xml:space="preserve"> </w:t>
      </w:r>
      <w:r w:rsidRPr="00F00165">
        <w:rPr>
          <w:rFonts w:ascii="Arial" w:hAnsi="Arial" w:cs="Arial"/>
        </w:rPr>
        <w:t xml:space="preserve">se </w:t>
      </w:r>
      <w:r w:rsidR="00306294">
        <w:rPr>
          <w:rFonts w:ascii="Arial" w:hAnsi="Arial" w:cs="Arial"/>
        </w:rPr>
        <w:t xml:space="preserve">  </w:t>
      </w:r>
      <w:r w:rsidRPr="00F00165">
        <w:rPr>
          <w:rFonts w:ascii="Arial" w:hAnsi="Arial" w:cs="Arial"/>
        </w:rPr>
        <w:t xml:space="preserve">refieran </w:t>
      </w:r>
      <w:r w:rsidR="00306294">
        <w:rPr>
          <w:rFonts w:ascii="Arial" w:hAnsi="Arial" w:cs="Arial"/>
        </w:rPr>
        <w:t xml:space="preserve"> </w:t>
      </w:r>
      <w:r w:rsidRPr="00F00165">
        <w:rPr>
          <w:rFonts w:ascii="Arial" w:hAnsi="Arial" w:cs="Arial"/>
        </w:rPr>
        <w:t xml:space="preserve">al </w:t>
      </w:r>
      <w:r w:rsidR="00306294">
        <w:rPr>
          <w:rFonts w:ascii="Arial" w:hAnsi="Arial" w:cs="Arial"/>
        </w:rPr>
        <w:t xml:space="preserve"> </w:t>
      </w:r>
      <w:r w:rsidRPr="00F00165">
        <w:rPr>
          <w:rFonts w:ascii="Arial" w:hAnsi="Arial" w:cs="Arial"/>
        </w:rPr>
        <w:t>salario</w:t>
      </w:r>
      <w:r w:rsidR="00306294">
        <w:rPr>
          <w:rFonts w:ascii="Arial" w:hAnsi="Arial" w:cs="Arial"/>
        </w:rPr>
        <w:t xml:space="preserve"> </w:t>
      </w:r>
      <w:r w:rsidRPr="00F00165">
        <w:rPr>
          <w:rFonts w:ascii="Arial" w:hAnsi="Arial" w:cs="Arial"/>
        </w:rPr>
        <w:t xml:space="preserve"> mínimo </w:t>
      </w:r>
    </w:p>
    <w:p w:rsidR="00306294" w:rsidRDefault="00306294" w:rsidP="00306294">
      <w:pPr>
        <w:spacing w:after="100" w:afterAutospacing="1" w:line="250" w:lineRule="auto"/>
        <w:ind w:left="1361" w:right="141" w:firstLine="0"/>
        <w:rPr>
          <w:rFonts w:ascii="Arial" w:hAnsi="Arial" w:cs="Arial"/>
        </w:rPr>
      </w:pPr>
    </w:p>
    <w:p w:rsidR="00295FCC" w:rsidRPr="00F00165" w:rsidRDefault="009D6E73" w:rsidP="00306294">
      <w:pPr>
        <w:spacing w:after="100" w:afterAutospacing="1" w:line="250" w:lineRule="auto"/>
        <w:ind w:left="1361" w:right="141" w:firstLine="0"/>
        <w:rPr>
          <w:rFonts w:ascii="Arial" w:hAnsi="Arial" w:cs="Arial"/>
        </w:rPr>
      </w:pPr>
      <w:r w:rsidRPr="00F00165">
        <w:rPr>
          <w:rFonts w:ascii="Arial" w:hAnsi="Arial" w:cs="Arial"/>
        </w:rPr>
        <w:t xml:space="preserve">interprofesional en cómputo anual, salvo que expresamente excluyeran las pagas extraordinarias; en este caso, la cuantía será de 7.200 euros. </w:t>
      </w:r>
    </w:p>
    <w:p w:rsidR="00011F21" w:rsidRDefault="009D6E73" w:rsidP="00011F21">
      <w:pPr>
        <w:spacing w:after="240" w:line="250" w:lineRule="auto"/>
        <w:ind w:left="652" w:right="0" w:hanging="11"/>
        <w:rPr>
          <w:rFonts w:ascii="Arial" w:hAnsi="Arial" w:cs="Arial"/>
        </w:rPr>
      </w:pPr>
      <w:r w:rsidRPr="00F00165">
        <w:rPr>
          <w:rFonts w:ascii="Arial" w:hAnsi="Arial" w:cs="Arial"/>
        </w:rPr>
        <w:t xml:space="preserve">Aprovechamos esta circular para </w:t>
      </w:r>
      <w:r w:rsidRPr="00F00165">
        <w:rPr>
          <w:rFonts w:ascii="Arial" w:hAnsi="Arial" w:cs="Arial"/>
          <w:b/>
        </w:rPr>
        <w:t>RECORDAR</w:t>
      </w:r>
      <w:r w:rsidRPr="00F00165">
        <w:rPr>
          <w:rFonts w:ascii="Arial" w:hAnsi="Arial" w:cs="Arial"/>
        </w:rPr>
        <w:t xml:space="preserve">: </w:t>
      </w:r>
    </w:p>
    <w:p w:rsidR="00295FCC" w:rsidRPr="00011F21" w:rsidRDefault="009D6E73" w:rsidP="0098386A">
      <w:pPr>
        <w:pStyle w:val="Prrafodelista"/>
        <w:numPr>
          <w:ilvl w:val="0"/>
          <w:numId w:val="20"/>
        </w:numPr>
        <w:spacing w:after="120" w:line="250" w:lineRule="auto"/>
        <w:ind w:left="584" w:right="0" w:hanging="357"/>
        <w:contextualSpacing w:val="0"/>
        <w:rPr>
          <w:rFonts w:ascii="Arial" w:hAnsi="Arial" w:cs="Arial"/>
          <w:b/>
        </w:rPr>
      </w:pPr>
      <w:r w:rsidRPr="00011F21">
        <w:rPr>
          <w:rFonts w:ascii="Arial" w:hAnsi="Arial" w:cs="Arial"/>
          <w:b/>
        </w:rPr>
        <w:t>R</w:t>
      </w:r>
      <w:r w:rsidR="00011F21">
        <w:rPr>
          <w:rFonts w:ascii="Arial" w:hAnsi="Arial" w:cs="Arial"/>
          <w:b/>
        </w:rPr>
        <w:t>É</w:t>
      </w:r>
      <w:r w:rsidRPr="00011F21">
        <w:rPr>
          <w:rFonts w:ascii="Arial" w:hAnsi="Arial" w:cs="Arial"/>
          <w:b/>
        </w:rPr>
        <w:t>GIMEN LEGAL APLICABLE A LAS OPERACIONES DE ENDEUDAMIENTO LARGO PLAZO EN EL EJERCICIO 202</w:t>
      </w:r>
      <w:r w:rsidR="001C78A4" w:rsidRPr="00011F21">
        <w:rPr>
          <w:rFonts w:ascii="Arial" w:hAnsi="Arial" w:cs="Arial"/>
          <w:b/>
        </w:rPr>
        <w:t>4</w:t>
      </w:r>
      <w:r w:rsidRPr="00011F21">
        <w:rPr>
          <w:rFonts w:ascii="Arial" w:hAnsi="Arial" w:cs="Arial"/>
          <w:b/>
        </w:rPr>
        <w:t xml:space="preserve"> </w:t>
      </w:r>
    </w:p>
    <w:p w:rsidR="00295FCC" w:rsidRDefault="008345F3" w:rsidP="00011F21">
      <w:pPr>
        <w:spacing w:after="240" w:line="250" w:lineRule="auto"/>
        <w:ind w:left="11" w:right="0" w:firstLine="556"/>
      </w:pPr>
      <w:r>
        <w:rPr>
          <w:rFonts w:ascii="Arial" w:hAnsi="Arial" w:cs="Arial"/>
        </w:rPr>
        <w:t xml:space="preserve">Como en años anteriores, ha sido publicada en </w:t>
      </w:r>
      <w:r w:rsidR="009D6E73" w:rsidRPr="00011F21">
        <w:rPr>
          <w:rFonts w:ascii="Arial" w:hAnsi="Arial" w:cs="Arial"/>
        </w:rPr>
        <w:t xml:space="preserve">OVEEL  la </w:t>
      </w:r>
      <w:r w:rsidR="009D6E73" w:rsidRPr="00011F21">
        <w:rPr>
          <w:rFonts w:ascii="Arial" w:hAnsi="Arial" w:cs="Arial"/>
          <w:b/>
        </w:rPr>
        <w:t>Nota Informativa</w:t>
      </w:r>
      <w:r w:rsidR="009D6E73" w:rsidRPr="00011F21">
        <w:rPr>
          <w:rFonts w:ascii="Arial" w:hAnsi="Arial" w:cs="Arial"/>
        </w:rPr>
        <w:t xml:space="preserve"> sobre el régimen legal aplicable a las operaciones de endeudamiento a largo plazo que pueden concertar las Entidades Locales en el ejercicio 20</w:t>
      </w:r>
      <w:hyperlink r:id="rId8">
        <w:r w:rsidR="009D6E73" w:rsidRPr="00011F21">
          <w:rPr>
            <w:rFonts w:ascii="Arial" w:hAnsi="Arial" w:cs="Arial"/>
          </w:rPr>
          <w:t>2</w:t>
        </w:r>
        <w:r w:rsidR="001C78A4" w:rsidRPr="00011F21">
          <w:rPr>
            <w:rFonts w:ascii="Arial" w:hAnsi="Arial" w:cs="Arial"/>
          </w:rPr>
          <w:t>4</w:t>
        </w:r>
      </w:hyperlink>
      <w:hyperlink r:id="rId9">
        <w:r w:rsidR="009D6E73" w:rsidRPr="00011F21">
          <w:rPr>
            <w:rFonts w:ascii="Arial" w:hAnsi="Arial" w:cs="Arial"/>
          </w:rPr>
          <w:t>,</w:t>
        </w:r>
      </w:hyperlink>
      <w:r w:rsidR="009D6E73" w:rsidRPr="00011F21">
        <w:rPr>
          <w:rFonts w:ascii="Arial" w:hAnsi="Arial" w:cs="Arial"/>
        </w:rPr>
        <w:t xml:space="preserve"> a través de la cual, el Ministerio de Hacienda analiza las distintas formas de endeudamiento a largo plazo que disponen las  Entidades Locales para el presente ejercicio.</w:t>
      </w:r>
      <w:r w:rsidR="009D6E73">
        <w:t xml:space="preserve"> </w:t>
      </w:r>
    </w:p>
    <w:p w:rsidR="00295FCC" w:rsidRPr="00011F21" w:rsidRDefault="009D6E73" w:rsidP="0098386A">
      <w:pPr>
        <w:pStyle w:val="Prrafodelista"/>
        <w:numPr>
          <w:ilvl w:val="0"/>
          <w:numId w:val="20"/>
        </w:numPr>
        <w:spacing w:after="120" w:line="250" w:lineRule="auto"/>
        <w:ind w:left="584" w:right="0" w:hanging="357"/>
        <w:contextualSpacing w:val="0"/>
        <w:rPr>
          <w:rFonts w:ascii="Arial" w:hAnsi="Arial" w:cs="Arial"/>
          <w:b/>
        </w:rPr>
      </w:pPr>
      <w:r w:rsidRPr="00011F21">
        <w:rPr>
          <w:rFonts w:ascii="Arial" w:hAnsi="Arial" w:cs="Arial"/>
          <w:b/>
        </w:rPr>
        <w:t>RETENCION EN LA PARTICIPACION EN LOS TRIBUTOS DEL ESTADO POR EL INCUMPLIMIENTO DE SUMINISTRO DE INFORMA</w:t>
      </w:r>
      <w:r w:rsidR="0098386A">
        <w:rPr>
          <w:rFonts w:ascii="Arial" w:hAnsi="Arial" w:cs="Arial"/>
          <w:b/>
        </w:rPr>
        <w:t>CION AL MINISTERIO DE HACIENDA</w:t>
      </w:r>
    </w:p>
    <w:p w:rsidR="00295FCC" w:rsidRPr="00011F21" w:rsidRDefault="009D6E73" w:rsidP="00011F21">
      <w:pPr>
        <w:spacing w:after="240" w:line="250" w:lineRule="auto"/>
        <w:ind w:left="11" w:right="0" w:firstLine="556"/>
        <w:rPr>
          <w:rFonts w:ascii="Arial" w:hAnsi="Arial" w:cs="Arial"/>
        </w:rPr>
      </w:pPr>
      <w:r w:rsidRPr="00011F21">
        <w:rPr>
          <w:rFonts w:ascii="Arial" w:hAnsi="Arial" w:cs="Arial"/>
        </w:rPr>
        <w:t xml:space="preserve">El artículo 36 de la Ley 2/2011 prevé la retención en la Participación en Tributos del Estado </w:t>
      </w:r>
      <w:r w:rsidRPr="00011F21">
        <w:rPr>
          <w:rFonts w:ascii="Arial" w:hAnsi="Arial" w:cs="Arial"/>
          <w:b/>
        </w:rPr>
        <w:t>por incumplimiento de remisión de la Liquidación</w:t>
      </w:r>
      <w:r w:rsidRPr="00011F21">
        <w:rPr>
          <w:rFonts w:ascii="Arial" w:hAnsi="Arial" w:cs="Arial"/>
        </w:rPr>
        <w:t xml:space="preserve"> y la posibilidad de retención de la PTE por incumplimiento de la remisión de la Cuenta General al Tribunal de Cuentas. </w:t>
      </w:r>
    </w:p>
    <w:p w:rsidR="002541DC" w:rsidRDefault="009D6E73" w:rsidP="00C97566">
      <w:pPr>
        <w:spacing w:after="360" w:line="250" w:lineRule="auto"/>
        <w:ind w:left="11" w:right="0" w:firstLine="556"/>
        <w:rPr>
          <w:b/>
        </w:rPr>
      </w:pPr>
      <w:r w:rsidRPr="00011F21">
        <w:rPr>
          <w:rFonts w:ascii="Arial" w:hAnsi="Arial" w:cs="Arial"/>
        </w:rPr>
        <w:t xml:space="preserve">Además, y en virtud de lo dispuesto en la </w:t>
      </w:r>
      <w:r w:rsidR="00011F21">
        <w:rPr>
          <w:rFonts w:ascii="Arial" w:hAnsi="Arial" w:cs="Arial"/>
        </w:rPr>
        <w:t>D</w:t>
      </w:r>
      <w:r w:rsidRPr="00011F21">
        <w:rPr>
          <w:rFonts w:ascii="Arial" w:hAnsi="Arial" w:cs="Arial"/>
        </w:rPr>
        <w:t>isposición a</w:t>
      </w:r>
      <w:r w:rsidR="00011F21">
        <w:rPr>
          <w:rFonts w:ascii="Arial" w:hAnsi="Arial" w:cs="Arial"/>
        </w:rPr>
        <w:t xml:space="preserve">dicional </w:t>
      </w:r>
      <w:r w:rsidRPr="00011F21">
        <w:rPr>
          <w:rFonts w:ascii="Arial" w:hAnsi="Arial" w:cs="Arial"/>
        </w:rPr>
        <w:t>87 de la LPGE 2022</w:t>
      </w:r>
      <w:r w:rsidR="00805E39" w:rsidRPr="00011F21">
        <w:rPr>
          <w:rFonts w:ascii="Arial" w:hAnsi="Arial" w:cs="Arial"/>
        </w:rPr>
        <w:t xml:space="preserve"> con vigencia indefinida</w:t>
      </w:r>
      <w:r w:rsidRPr="00011F21">
        <w:rPr>
          <w:rFonts w:ascii="Arial" w:hAnsi="Arial" w:cs="Arial"/>
        </w:rPr>
        <w:t>, será también de aplicación el artículo 36 de la Ley 2/2011 (Retención P</w:t>
      </w:r>
      <w:r w:rsidR="000F1A5B">
        <w:rPr>
          <w:rFonts w:ascii="Arial" w:hAnsi="Arial" w:cs="Arial"/>
        </w:rPr>
        <w:t>articipación en los Tributos del Estado</w:t>
      </w:r>
      <w:r w:rsidRPr="00011F21">
        <w:rPr>
          <w:rFonts w:ascii="Arial" w:hAnsi="Arial" w:cs="Arial"/>
        </w:rPr>
        <w:t xml:space="preserve">) </w:t>
      </w:r>
      <w:r w:rsidRPr="00011F21">
        <w:rPr>
          <w:rFonts w:ascii="Arial" w:hAnsi="Arial" w:cs="Arial"/>
          <w:b/>
        </w:rPr>
        <w:t>por incumplimiento</w:t>
      </w:r>
      <w:r w:rsidRPr="00011F21">
        <w:rPr>
          <w:rFonts w:ascii="Arial" w:hAnsi="Arial" w:cs="Arial"/>
        </w:rPr>
        <w:t xml:space="preserve"> de las obligaciones de suministro de información</w:t>
      </w:r>
      <w:r w:rsidR="00011F21">
        <w:rPr>
          <w:rFonts w:ascii="Arial" w:hAnsi="Arial" w:cs="Arial"/>
        </w:rPr>
        <w:t xml:space="preserve"> correspondientes</w:t>
      </w:r>
      <w:r w:rsidRPr="00011F21">
        <w:rPr>
          <w:rFonts w:ascii="Arial" w:hAnsi="Arial" w:cs="Arial"/>
        </w:rPr>
        <w:t xml:space="preserve"> </w:t>
      </w:r>
      <w:r w:rsidRPr="00011F21">
        <w:rPr>
          <w:rFonts w:ascii="Arial" w:hAnsi="Arial" w:cs="Arial"/>
          <w:b/>
        </w:rPr>
        <w:t>Presupuestos del ejercicio corriente</w:t>
      </w:r>
      <w:r w:rsidRPr="00011F21">
        <w:rPr>
          <w:rFonts w:ascii="Arial" w:hAnsi="Arial" w:cs="Arial"/>
        </w:rPr>
        <w:t xml:space="preserve"> y </w:t>
      </w:r>
      <w:r w:rsidRPr="00011F21">
        <w:rPr>
          <w:rFonts w:ascii="Arial" w:hAnsi="Arial" w:cs="Arial"/>
          <w:b/>
        </w:rPr>
        <w:t>Líneas fundamentales del presupuesto</w:t>
      </w:r>
      <w:r w:rsidRPr="00011F21">
        <w:rPr>
          <w:rFonts w:ascii="Arial" w:hAnsi="Arial" w:cs="Arial"/>
        </w:rPr>
        <w:t xml:space="preserve"> del año siguiente. </w:t>
      </w: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p w:rsidR="00C97566" w:rsidRDefault="00C97566">
      <w:pPr>
        <w:spacing w:after="0" w:line="259" w:lineRule="auto"/>
        <w:ind w:left="360" w:right="0" w:firstLine="0"/>
        <w:jc w:val="left"/>
        <w:rPr>
          <w:b/>
        </w:rPr>
      </w:pPr>
    </w:p>
    <w:p w:rsidR="00C97566" w:rsidRDefault="00C97566">
      <w:pPr>
        <w:spacing w:after="0" w:line="259" w:lineRule="auto"/>
        <w:ind w:left="360" w:right="0" w:firstLine="0"/>
        <w:jc w:val="left"/>
        <w:rPr>
          <w:b/>
        </w:rPr>
      </w:pPr>
    </w:p>
    <w:p w:rsidR="002541DC" w:rsidRDefault="002541DC">
      <w:pPr>
        <w:spacing w:after="0" w:line="259" w:lineRule="auto"/>
        <w:ind w:left="360" w:right="0" w:firstLine="0"/>
        <w:jc w:val="left"/>
        <w:rPr>
          <w:b/>
        </w:rPr>
      </w:pPr>
    </w:p>
    <w:p w:rsidR="002541DC" w:rsidRDefault="002541DC">
      <w:pPr>
        <w:spacing w:after="0" w:line="259" w:lineRule="auto"/>
        <w:ind w:left="360" w:right="0" w:firstLine="0"/>
        <w:jc w:val="left"/>
        <w:rPr>
          <w:b/>
        </w:rPr>
      </w:pP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74"/>
      </w:tblGrid>
      <w:tr w:rsidR="00297D97" w:rsidTr="00297D97">
        <w:tc>
          <w:tcPr>
            <w:tcW w:w="9174" w:type="dxa"/>
            <w:shd w:val="clear" w:color="auto" w:fill="D9D9D9" w:themeFill="background1" w:themeFillShade="D9"/>
          </w:tcPr>
          <w:p w:rsidR="00297D97" w:rsidRDefault="009D6E73" w:rsidP="00297D97">
            <w:pPr>
              <w:spacing w:before="120" w:after="120" w:line="259" w:lineRule="auto"/>
              <w:ind w:left="284" w:right="284" w:firstLine="0"/>
              <w:jc w:val="center"/>
            </w:pPr>
            <w:r>
              <w:lastRenderedPageBreak/>
              <w:t xml:space="preserve"> </w:t>
            </w:r>
            <w:r w:rsidR="00297D97">
              <w:rPr>
                <w:rFonts w:ascii="Arial" w:hAnsi="Arial" w:cs="Arial"/>
                <w:b/>
              </w:rPr>
              <w:t>BLOQUE 2. REACTIVACIÓN DE LAS REGLAS FISCALES</w:t>
            </w:r>
          </w:p>
        </w:tc>
      </w:tr>
    </w:tbl>
    <w:p w:rsidR="0062194E" w:rsidRDefault="0062194E" w:rsidP="0062194E">
      <w:pPr>
        <w:spacing w:after="0" w:line="259" w:lineRule="auto"/>
        <w:ind w:left="360" w:right="0" w:firstLine="0"/>
        <w:jc w:val="left"/>
      </w:pPr>
    </w:p>
    <w:p w:rsidR="00C967CC" w:rsidRPr="00C967CC" w:rsidRDefault="0062194E" w:rsidP="00CB184A">
      <w:pPr>
        <w:pStyle w:val="Textoindependiente21"/>
        <w:spacing w:after="120" w:line="250" w:lineRule="auto"/>
        <w:ind w:right="-28" w:firstLine="0"/>
        <w:rPr>
          <w:rFonts w:ascii="Arial" w:hAnsi="Arial" w:cs="Arial"/>
          <w:sz w:val="22"/>
          <w:szCs w:val="22"/>
        </w:rPr>
      </w:pPr>
      <w:r>
        <w:t xml:space="preserve"> </w:t>
      </w:r>
      <w:r w:rsidR="00CB184A">
        <w:tab/>
      </w:r>
      <w:r w:rsidR="00C967CC" w:rsidRPr="00C967CC">
        <w:rPr>
          <w:rFonts w:ascii="Arial" w:hAnsi="Arial" w:cs="Arial"/>
          <w:sz w:val="22"/>
          <w:szCs w:val="22"/>
        </w:rPr>
        <w:t>Como es conocido las llamadas Reglas Fiscales (Estabilidad Presupuestaria, Regla de Gasto y Deuda Pública) han estado suspendidas durante cuatro años, concretamente, durante los ejercicios 2020, 2021, 2022 y 2023 por aplicación de la cláusula general de salvaguarda del Pacto de Estabilidad y Crecimiento, según decisión de la Comisión Europea motivada en la concurrencia de circunstancias excepcionales que lo justificaban (Pandemia Covid-19 y Guerra de Ucrania). Otros tantos acuerdos del Congreso de los Diputados han extrapolado esta medida a nivel nacional ante la constatación de que España estaba sufriendo una situación de emergencia extraordinaria que se ajustaba a lo dispuesto en el artículo 135.4 de la Constitución y el en artículo 11.3 de la Ley Orgánica 2/2012, de 27 de abril, de Estabilidad Presupuestaria y Sostenibilidad Financiera (LOEPSF), lo que para las Entidades Locales se ha traducido en que durante el período 2020-2023 las Entidades Locales no han estado obligadas a cumplir con los objetivos de estabilidad presupuestaria, deuda pública y regla de gasto.</w:t>
      </w:r>
    </w:p>
    <w:p w:rsidR="00C967CC" w:rsidRPr="00C967CC" w:rsidRDefault="00CB184A" w:rsidP="00CB184A">
      <w:pPr>
        <w:widowControl w:val="0"/>
        <w:spacing w:after="0" w:line="250" w:lineRule="auto"/>
        <w:ind w:left="0" w:right="-28" w:firstLine="0"/>
        <w:rPr>
          <w:rFonts w:ascii="Arial" w:eastAsia="Times New Roman" w:hAnsi="Arial" w:cs="Arial"/>
          <w:color w:val="auto"/>
          <w:lang w:val="es-ES_tradnl"/>
        </w:rPr>
      </w:pPr>
      <w:r>
        <w:rPr>
          <w:rFonts w:ascii="Arial" w:eastAsia="Times New Roman" w:hAnsi="Arial" w:cs="Arial"/>
          <w:color w:val="auto"/>
          <w:lang w:val="es-ES_tradnl"/>
        </w:rPr>
        <w:tab/>
      </w:r>
      <w:r w:rsidR="00C967CC" w:rsidRPr="00C967CC">
        <w:rPr>
          <w:rFonts w:ascii="Arial" w:eastAsia="Times New Roman" w:hAnsi="Arial" w:cs="Arial"/>
          <w:color w:val="auto"/>
          <w:lang w:val="es-ES_tradnl"/>
        </w:rPr>
        <w:t>Esta situación cambiará para el año 2024 puesto que, según se ha anunciado desde diversas instancias comunitarias y estatales, la suspensión llega a su fin y las tres reglas fiscales cobrarán nuevamente vigencia. En consonancia con estos anuncios, el pasado 12 de diciembre de 2023, el Consejo de Ministros ha adoptado un Acuerdo mediante el que se cuantifican los objetivos de estabilidad presupuestaria y deuda pública para las Entidades Locales en los términos que se detallan seguidamente:</w:t>
      </w:r>
    </w:p>
    <w:p w:rsidR="00C967CC" w:rsidRPr="00C967CC" w:rsidRDefault="00C967CC" w:rsidP="00C967CC">
      <w:pPr>
        <w:spacing w:after="0" w:line="240" w:lineRule="auto"/>
        <w:ind w:left="708" w:right="0" w:firstLine="0"/>
        <w:jc w:val="left"/>
        <w:rPr>
          <w:rFonts w:ascii="Arial" w:eastAsia="Times New Roman" w:hAnsi="Arial" w:cs="Arial"/>
          <w:color w:val="auto"/>
          <w:highlight w:val="lightGray"/>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1276"/>
        <w:gridCol w:w="1037"/>
        <w:gridCol w:w="1276"/>
      </w:tblGrid>
      <w:tr w:rsidR="00C967CC" w:rsidRPr="00C967CC" w:rsidTr="005C6398">
        <w:tc>
          <w:tcPr>
            <w:tcW w:w="4111" w:type="dxa"/>
            <w:tcMar>
              <w:top w:w="105" w:type="dxa"/>
              <w:left w:w="240" w:type="dxa"/>
              <w:bottom w:w="105" w:type="dxa"/>
              <w:right w:w="240" w:type="dxa"/>
            </w:tcMar>
            <w:vAlign w:val="center"/>
            <w:hideMark/>
          </w:tcPr>
          <w:p w:rsidR="00C967CC" w:rsidRPr="00C967CC" w:rsidRDefault="00C967CC" w:rsidP="00C967CC">
            <w:pPr>
              <w:shd w:val="clear" w:color="auto" w:fill="FFFFFF"/>
              <w:spacing w:after="0" w:line="240" w:lineRule="auto"/>
              <w:ind w:left="0" w:right="0" w:firstLine="0"/>
              <w:jc w:val="left"/>
              <w:rPr>
                <w:rFonts w:ascii="Arial" w:eastAsia="Times New Roman" w:hAnsi="Arial" w:cs="Arial"/>
                <w:b/>
                <w:color w:val="1D1D1B"/>
                <w:sz w:val="20"/>
                <w:szCs w:val="20"/>
              </w:rPr>
            </w:pPr>
            <w:r w:rsidRPr="00C967CC">
              <w:rPr>
                <w:rFonts w:ascii="Arial" w:eastAsia="Times New Roman" w:hAnsi="Arial" w:cs="Arial"/>
                <w:b/>
                <w:color w:val="1D1D1B"/>
                <w:sz w:val="20"/>
                <w:szCs w:val="20"/>
              </w:rPr>
              <w:t>Objetivos</w:t>
            </w:r>
          </w:p>
        </w:tc>
        <w:tc>
          <w:tcPr>
            <w:tcW w:w="1276"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center"/>
              <w:rPr>
                <w:rFonts w:ascii="Arial" w:eastAsia="Times New Roman" w:hAnsi="Arial" w:cs="Arial"/>
                <w:color w:val="auto"/>
                <w:sz w:val="20"/>
                <w:szCs w:val="20"/>
              </w:rPr>
            </w:pPr>
            <w:r w:rsidRPr="00C967CC">
              <w:rPr>
                <w:rFonts w:ascii="Arial" w:eastAsia="Times New Roman" w:hAnsi="Arial" w:cs="Arial"/>
                <w:b/>
                <w:bCs/>
                <w:color w:val="auto"/>
                <w:sz w:val="20"/>
                <w:szCs w:val="20"/>
              </w:rPr>
              <w:t>2024</w:t>
            </w:r>
          </w:p>
        </w:tc>
        <w:tc>
          <w:tcPr>
            <w:tcW w:w="1037"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center"/>
              <w:rPr>
                <w:rFonts w:ascii="Arial" w:eastAsia="Times New Roman" w:hAnsi="Arial" w:cs="Arial"/>
                <w:color w:val="auto"/>
                <w:sz w:val="20"/>
                <w:szCs w:val="20"/>
              </w:rPr>
            </w:pPr>
            <w:r w:rsidRPr="00C967CC">
              <w:rPr>
                <w:rFonts w:ascii="Arial" w:eastAsia="Times New Roman" w:hAnsi="Arial" w:cs="Arial"/>
                <w:b/>
                <w:bCs/>
                <w:color w:val="auto"/>
                <w:sz w:val="20"/>
                <w:szCs w:val="20"/>
              </w:rPr>
              <w:t>2025</w:t>
            </w:r>
          </w:p>
        </w:tc>
        <w:tc>
          <w:tcPr>
            <w:tcW w:w="1276"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center"/>
              <w:rPr>
                <w:rFonts w:ascii="Arial" w:eastAsia="Times New Roman" w:hAnsi="Arial" w:cs="Arial"/>
                <w:color w:val="auto"/>
                <w:sz w:val="20"/>
                <w:szCs w:val="20"/>
              </w:rPr>
            </w:pPr>
            <w:r w:rsidRPr="00C967CC">
              <w:rPr>
                <w:rFonts w:ascii="Arial" w:eastAsia="Times New Roman" w:hAnsi="Arial" w:cs="Arial"/>
                <w:b/>
                <w:bCs/>
                <w:color w:val="auto"/>
                <w:sz w:val="20"/>
                <w:szCs w:val="20"/>
              </w:rPr>
              <w:t>2026</w:t>
            </w:r>
          </w:p>
        </w:tc>
      </w:tr>
      <w:tr w:rsidR="00C967CC" w:rsidRPr="00C967CC" w:rsidTr="005C6398">
        <w:tc>
          <w:tcPr>
            <w:tcW w:w="4111"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left"/>
              <w:rPr>
                <w:rFonts w:ascii="Arial" w:eastAsia="Times New Roman" w:hAnsi="Arial" w:cs="Arial"/>
                <w:color w:val="auto"/>
                <w:sz w:val="20"/>
                <w:szCs w:val="20"/>
              </w:rPr>
            </w:pPr>
            <w:r w:rsidRPr="00C967CC">
              <w:rPr>
                <w:rFonts w:ascii="Arial" w:eastAsia="Times New Roman" w:hAnsi="Arial" w:cs="Arial"/>
                <w:color w:val="auto"/>
                <w:sz w:val="20"/>
                <w:szCs w:val="20"/>
              </w:rPr>
              <w:t>Estabilidad Presupuestaria</w:t>
            </w:r>
          </w:p>
        </w:tc>
        <w:tc>
          <w:tcPr>
            <w:tcW w:w="1276"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center"/>
              <w:rPr>
                <w:rFonts w:ascii="Arial" w:eastAsia="Times New Roman" w:hAnsi="Arial" w:cs="Arial"/>
                <w:color w:val="auto"/>
                <w:sz w:val="20"/>
                <w:szCs w:val="20"/>
              </w:rPr>
            </w:pPr>
            <w:r w:rsidRPr="00C967CC">
              <w:rPr>
                <w:rFonts w:ascii="Arial" w:eastAsia="Times New Roman" w:hAnsi="Arial" w:cs="Arial"/>
                <w:color w:val="auto"/>
                <w:sz w:val="20"/>
                <w:szCs w:val="20"/>
              </w:rPr>
              <w:t>0,0</w:t>
            </w:r>
          </w:p>
        </w:tc>
        <w:tc>
          <w:tcPr>
            <w:tcW w:w="1037"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center"/>
              <w:rPr>
                <w:rFonts w:ascii="Arial" w:eastAsia="Times New Roman" w:hAnsi="Arial" w:cs="Arial"/>
                <w:color w:val="auto"/>
                <w:sz w:val="20"/>
                <w:szCs w:val="20"/>
              </w:rPr>
            </w:pPr>
            <w:r w:rsidRPr="00C967CC">
              <w:rPr>
                <w:rFonts w:ascii="Arial" w:eastAsia="Times New Roman" w:hAnsi="Arial" w:cs="Arial"/>
                <w:color w:val="auto"/>
                <w:sz w:val="20"/>
                <w:szCs w:val="20"/>
              </w:rPr>
              <w:t>0,0</w:t>
            </w:r>
          </w:p>
        </w:tc>
        <w:tc>
          <w:tcPr>
            <w:tcW w:w="1276"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center"/>
              <w:rPr>
                <w:rFonts w:ascii="Arial" w:eastAsia="Times New Roman" w:hAnsi="Arial" w:cs="Arial"/>
                <w:color w:val="auto"/>
                <w:sz w:val="20"/>
                <w:szCs w:val="20"/>
              </w:rPr>
            </w:pPr>
            <w:r w:rsidRPr="00C967CC">
              <w:rPr>
                <w:rFonts w:ascii="Arial" w:eastAsia="Times New Roman" w:hAnsi="Arial" w:cs="Arial"/>
                <w:color w:val="auto"/>
                <w:sz w:val="20"/>
                <w:szCs w:val="20"/>
              </w:rPr>
              <w:t>0,0</w:t>
            </w:r>
          </w:p>
        </w:tc>
      </w:tr>
      <w:tr w:rsidR="00C967CC" w:rsidRPr="00C967CC" w:rsidTr="005C6398">
        <w:tc>
          <w:tcPr>
            <w:tcW w:w="4111"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left"/>
              <w:rPr>
                <w:rFonts w:ascii="Arial" w:eastAsia="Times New Roman" w:hAnsi="Arial" w:cs="Arial"/>
                <w:color w:val="auto"/>
                <w:sz w:val="20"/>
                <w:szCs w:val="20"/>
              </w:rPr>
            </w:pPr>
            <w:r w:rsidRPr="00C967CC">
              <w:rPr>
                <w:rFonts w:ascii="Arial" w:eastAsia="Times New Roman" w:hAnsi="Arial" w:cs="Arial"/>
                <w:color w:val="auto"/>
                <w:sz w:val="20"/>
                <w:szCs w:val="20"/>
              </w:rPr>
              <w:t>Deuda Pública</w:t>
            </w:r>
          </w:p>
        </w:tc>
        <w:tc>
          <w:tcPr>
            <w:tcW w:w="1276"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center"/>
              <w:rPr>
                <w:rFonts w:ascii="Arial" w:eastAsia="Times New Roman" w:hAnsi="Arial" w:cs="Arial"/>
                <w:color w:val="auto"/>
                <w:sz w:val="20"/>
                <w:szCs w:val="20"/>
              </w:rPr>
            </w:pPr>
            <w:r w:rsidRPr="00C967CC">
              <w:rPr>
                <w:rFonts w:ascii="Arial" w:eastAsia="Times New Roman" w:hAnsi="Arial" w:cs="Arial"/>
                <w:color w:val="auto"/>
                <w:sz w:val="20"/>
                <w:szCs w:val="20"/>
              </w:rPr>
              <w:t>1,4%</w:t>
            </w:r>
          </w:p>
        </w:tc>
        <w:tc>
          <w:tcPr>
            <w:tcW w:w="1037"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center"/>
              <w:rPr>
                <w:rFonts w:ascii="Arial" w:eastAsia="Times New Roman" w:hAnsi="Arial" w:cs="Arial"/>
                <w:color w:val="auto"/>
                <w:sz w:val="20"/>
                <w:szCs w:val="20"/>
              </w:rPr>
            </w:pPr>
            <w:r w:rsidRPr="00C967CC">
              <w:rPr>
                <w:rFonts w:ascii="Arial" w:eastAsia="Times New Roman" w:hAnsi="Arial" w:cs="Arial"/>
                <w:color w:val="auto"/>
                <w:sz w:val="20"/>
                <w:szCs w:val="20"/>
              </w:rPr>
              <w:t>1,3%</w:t>
            </w:r>
          </w:p>
        </w:tc>
        <w:tc>
          <w:tcPr>
            <w:tcW w:w="1276" w:type="dxa"/>
            <w:tcMar>
              <w:top w:w="105" w:type="dxa"/>
              <w:left w:w="240" w:type="dxa"/>
              <w:bottom w:w="105" w:type="dxa"/>
              <w:right w:w="240" w:type="dxa"/>
            </w:tcMar>
            <w:vAlign w:val="center"/>
            <w:hideMark/>
          </w:tcPr>
          <w:p w:rsidR="00C967CC" w:rsidRPr="00C967CC" w:rsidRDefault="00C967CC" w:rsidP="00C967CC">
            <w:pPr>
              <w:spacing w:after="0" w:line="240" w:lineRule="auto"/>
              <w:ind w:left="0" w:right="0" w:firstLine="0"/>
              <w:jc w:val="center"/>
              <w:rPr>
                <w:rFonts w:ascii="Arial" w:eastAsia="Times New Roman" w:hAnsi="Arial" w:cs="Arial"/>
                <w:color w:val="auto"/>
                <w:sz w:val="20"/>
                <w:szCs w:val="20"/>
              </w:rPr>
            </w:pPr>
            <w:r w:rsidRPr="00C967CC">
              <w:rPr>
                <w:rFonts w:ascii="Arial" w:eastAsia="Times New Roman" w:hAnsi="Arial" w:cs="Arial"/>
                <w:color w:val="auto"/>
                <w:sz w:val="20"/>
                <w:szCs w:val="20"/>
              </w:rPr>
              <w:t>1,3%</w:t>
            </w:r>
          </w:p>
        </w:tc>
      </w:tr>
    </w:tbl>
    <w:p w:rsidR="00C967CC" w:rsidRPr="00C967CC" w:rsidRDefault="00C967CC" w:rsidP="00C967CC">
      <w:pPr>
        <w:spacing w:after="0" w:line="240" w:lineRule="auto"/>
        <w:ind w:left="708" w:right="0" w:firstLine="0"/>
        <w:jc w:val="left"/>
        <w:rPr>
          <w:rFonts w:ascii="Arial" w:eastAsia="Times New Roman" w:hAnsi="Arial" w:cs="Arial"/>
          <w:color w:val="auto"/>
          <w:highlight w:val="lightGray"/>
        </w:rPr>
      </w:pPr>
    </w:p>
    <w:p w:rsidR="00E95F85" w:rsidRDefault="002541DC" w:rsidP="00CE6684">
      <w:pPr>
        <w:pStyle w:val="Textoindependiente21"/>
        <w:spacing w:after="120" w:line="250" w:lineRule="auto"/>
        <w:ind w:right="-28" w:firstLine="0"/>
        <w:rPr>
          <w:rFonts w:ascii="Arial" w:hAnsi="Arial" w:cs="Arial"/>
          <w:sz w:val="22"/>
          <w:szCs w:val="22"/>
        </w:rPr>
      </w:pPr>
      <w:r>
        <w:rPr>
          <w:rFonts w:ascii="Arial" w:hAnsi="Arial" w:cs="Arial"/>
          <w:sz w:val="22"/>
          <w:szCs w:val="22"/>
        </w:rPr>
        <w:tab/>
      </w:r>
      <w:r w:rsidR="00C967CC" w:rsidRPr="00C967CC">
        <w:rPr>
          <w:rFonts w:ascii="Arial" w:hAnsi="Arial" w:cs="Arial"/>
          <w:sz w:val="22"/>
          <w:szCs w:val="22"/>
        </w:rPr>
        <w:t xml:space="preserve">El tercero de los objetivos –la regla de gasto-  aún tendrá que esperar para su concreción a la </w:t>
      </w:r>
      <w:r w:rsidR="00CE6684">
        <w:rPr>
          <w:rFonts w:ascii="Arial" w:hAnsi="Arial" w:cs="Arial"/>
          <w:sz w:val="22"/>
          <w:szCs w:val="22"/>
        </w:rPr>
        <w:t>resolución</w:t>
      </w:r>
      <w:r w:rsidR="00C967CC" w:rsidRPr="00C967CC">
        <w:rPr>
          <w:rFonts w:ascii="Arial" w:hAnsi="Arial" w:cs="Arial"/>
          <w:sz w:val="22"/>
          <w:szCs w:val="22"/>
        </w:rPr>
        <w:t xml:space="preserve"> que </w:t>
      </w:r>
      <w:r w:rsidR="00E95F85">
        <w:rPr>
          <w:rFonts w:ascii="Arial" w:hAnsi="Arial" w:cs="Arial"/>
          <w:sz w:val="22"/>
          <w:szCs w:val="22"/>
        </w:rPr>
        <w:t xml:space="preserve">se adopte por el legislativo español. </w:t>
      </w:r>
    </w:p>
    <w:p w:rsidR="00E95F85" w:rsidRDefault="00E95F85" w:rsidP="00CE6684">
      <w:pPr>
        <w:pStyle w:val="Textoindependiente21"/>
        <w:spacing w:after="120" w:line="250" w:lineRule="auto"/>
        <w:ind w:right="-28" w:firstLine="0"/>
        <w:rPr>
          <w:rFonts w:ascii="Arial" w:hAnsi="Arial" w:cs="Arial"/>
          <w:sz w:val="22"/>
          <w:szCs w:val="22"/>
        </w:rPr>
      </w:pPr>
      <w:r>
        <w:rPr>
          <w:rFonts w:ascii="Arial" w:hAnsi="Arial" w:cs="Arial"/>
          <w:sz w:val="22"/>
          <w:szCs w:val="22"/>
        </w:rPr>
        <w:tab/>
        <w:t>De momento</w:t>
      </w:r>
      <w:r w:rsidR="00CE6684">
        <w:rPr>
          <w:rFonts w:ascii="Arial" w:hAnsi="Arial" w:cs="Arial"/>
          <w:sz w:val="22"/>
          <w:szCs w:val="22"/>
        </w:rPr>
        <w:t>,</w:t>
      </w:r>
      <w:r>
        <w:rPr>
          <w:rFonts w:ascii="Arial" w:hAnsi="Arial" w:cs="Arial"/>
          <w:sz w:val="22"/>
          <w:szCs w:val="22"/>
        </w:rPr>
        <w:t xml:space="preserve"> el día 10 de enero de 2024 el Congreso de los Diputados </w:t>
      </w:r>
      <w:r w:rsidR="00CE6684">
        <w:rPr>
          <w:rFonts w:ascii="Arial" w:hAnsi="Arial" w:cs="Arial"/>
          <w:sz w:val="22"/>
          <w:szCs w:val="22"/>
        </w:rPr>
        <w:t xml:space="preserve">ya </w:t>
      </w:r>
      <w:r>
        <w:rPr>
          <w:rFonts w:ascii="Arial" w:hAnsi="Arial" w:cs="Arial"/>
          <w:sz w:val="22"/>
          <w:szCs w:val="22"/>
        </w:rPr>
        <w:t xml:space="preserve">dio el visto bueno a los objetivos de estabilidad y, se prevé, que el día 7 de febrero se someterán a la consideración del Senado, aunque todo parece augurar que no serán aprobadas, lo que supondrá su vuelta al Congreso de los Diputados que dispondrá de </w:t>
      </w:r>
      <w:r w:rsidR="00465F18">
        <w:rPr>
          <w:rFonts w:ascii="Arial" w:hAnsi="Arial" w:cs="Arial"/>
          <w:sz w:val="22"/>
          <w:szCs w:val="22"/>
        </w:rPr>
        <w:t>dos meses más</w:t>
      </w:r>
      <w:r>
        <w:rPr>
          <w:rFonts w:ascii="Arial" w:hAnsi="Arial" w:cs="Arial"/>
          <w:sz w:val="22"/>
          <w:szCs w:val="22"/>
        </w:rPr>
        <w:t xml:space="preserve"> para tomar </w:t>
      </w:r>
      <w:r w:rsidR="00CE6684">
        <w:rPr>
          <w:rFonts w:ascii="Arial" w:hAnsi="Arial" w:cs="Arial"/>
          <w:sz w:val="22"/>
          <w:szCs w:val="22"/>
        </w:rPr>
        <w:t>la decisión</w:t>
      </w:r>
      <w:r w:rsidR="004267C3">
        <w:rPr>
          <w:rFonts w:ascii="Arial" w:hAnsi="Arial" w:cs="Arial"/>
          <w:sz w:val="22"/>
          <w:szCs w:val="22"/>
        </w:rPr>
        <w:t xml:space="preserve"> que proceda</w:t>
      </w:r>
      <w:r>
        <w:rPr>
          <w:rFonts w:ascii="Arial" w:hAnsi="Arial" w:cs="Arial"/>
          <w:sz w:val="22"/>
          <w:szCs w:val="22"/>
        </w:rPr>
        <w:t xml:space="preserve">. En el supuesto de que, finalmente, no prosperasen se volvería a </w:t>
      </w:r>
      <w:r w:rsidR="004267C3">
        <w:rPr>
          <w:rFonts w:ascii="Arial" w:hAnsi="Arial" w:cs="Arial"/>
          <w:sz w:val="22"/>
          <w:szCs w:val="22"/>
        </w:rPr>
        <w:t>lo</w:t>
      </w:r>
      <w:r>
        <w:rPr>
          <w:rFonts w:ascii="Arial" w:hAnsi="Arial" w:cs="Arial"/>
          <w:sz w:val="22"/>
          <w:szCs w:val="22"/>
        </w:rPr>
        <w:t xml:space="preserve"> recogido en el Programa de Estabilidad para España de abril de 2023 -el llamado “Paquete de Primavera”- </w:t>
      </w:r>
      <w:r w:rsidR="004267C3">
        <w:rPr>
          <w:rFonts w:ascii="Arial" w:hAnsi="Arial" w:cs="Arial"/>
          <w:sz w:val="22"/>
          <w:szCs w:val="22"/>
        </w:rPr>
        <w:t xml:space="preserve">que contempla unos objetivos </w:t>
      </w:r>
      <w:r>
        <w:rPr>
          <w:rFonts w:ascii="Arial" w:hAnsi="Arial" w:cs="Arial"/>
          <w:sz w:val="22"/>
          <w:szCs w:val="22"/>
        </w:rPr>
        <w:t>más rigurosos que los</w:t>
      </w:r>
      <w:r w:rsidR="004267C3">
        <w:rPr>
          <w:rFonts w:ascii="Arial" w:hAnsi="Arial" w:cs="Arial"/>
          <w:sz w:val="22"/>
          <w:szCs w:val="22"/>
        </w:rPr>
        <w:t xml:space="preserve"> propuestos desde el Ejecutivo a las Cortes.</w:t>
      </w:r>
    </w:p>
    <w:p w:rsidR="00C967CC" w:rsidRPr="00C967CC" w:rsidRDefault="00E95F85" w:rsidP="00131FFC">
      <w:pPr>
        <w:pStyle w:val="Textoindependiente21"/>
        <w:spacing w:after="240" w:line="250" w:lineRule="auto"/>
        <w:ind w:right="-28" w:firstLine="0"/>
        <w:rPr>
          <w:rFonts w:ascii="Arial" w:hAnsi="Arial" w:cs="Arial"/>
          <w:b/>
        </w:rPr>
      </w:pPr>
      <w:r>
        <w:rPr>
          <w:rFonts w:ascii="Arial" w:hAnsi="Arial" w:cs="Arial"/>
          <w:sz w:val="22"/>
          <w:szCs w:val="22"/>
        </w:rPr>
        <w:tab/>
        <w:t>En este escenario de incertidumbre</w:t>
      </w:r>
      <w:r w:rsidR="00131FFC">
        <w:rPr>
          <w:rFonts w:ascii="Arial" w:hAnsi="Arial" w:cs="Arial"/>
          <w:sz w:val="22"/>
          <w:szCs w:val="22"/>
        </w:rPr>
        <w:t xml:space="preserve"> </w:t>
      </w:r>
      <w:r w:rsidR="004267C3">
        <w:rPr>
          <w:rFonts w:ascii="Arial" w:hAnsi="Arial" w:cs="Arial"/>
          <w:sz w:val="22"/>
          <w:szCs w:val="22"/>
        </w:rPr>
        <w:t xml:space="preserve">puesto que, como se ha dicho, aún no han sido determinados por el Parlamento Español, </w:t>
      </w:r>
      <w:r w:rsidR="00131FFC">
        <w:rPr>
          <w:rFonts w:ascii="Arial" w:hAnsi="Arial" w:cs="Arial"/>
          <w:sz w:val="22"/>
          <w:szCs w:val="22"/>
        </w:rPr>
        <w:t xml:space="preserve">y ante la necesidad de aprobar y liquidar los presupuestos municipales cabe peguntarse cuál será la </w:t>
      </w:r>
      <w:r w:rsidR="00131FFC" w:rsidRPr="00C241FE">
        <w:rPr>
          <w:rFonts w:ascii="Arial" w:hAnsi="Arial" w:cs="Arial"/>
          <w:b/>
          <w:sz w:val="22"/>
          <w:szCs w:val="22"/>
        </w:rPr>
        <w:t>i</w:t>
      </w:r>
      <w:r w:rsidR="00C967CC" w:rsidRPr="00C241FE">
        <w:rPr>
          <w:rFonts w:ascii="Arial" w:hAnsi="Arial" w:cs="Arial"/>
          <w:b/>
        </w:rPr>
        <w:t>n</w:t>
      </w:r>
      <w:r w:rsidR="00C967CC" w:rsidRPr="00C967CC">
        <w:rPr>
          <w:rFonts w:ascii="Arial" w:hAnsi="Arial" w:cs="Arial"/>
          <w:b/>
        </w:rPr>
        <w:t>cidencia de las Reglas Fiscales en:</w:t>
      </w:r>
    </w:p>
    <w:p w:rsidR="00C967CC" w:rsidRDefault="00C967CC" w:rsidP="002541DC">
      <w:pPr>
        <w:spacing w:after="0" w:line="250" w:lineRule="auto"/>
        <w:ind w:left="0" w:right="0" w:firstLine="0"/>
        <w:rPr>
          <w:rFonts w:ascii="Arial" w:eastAsia="Times New Roman" w:hAnsi="Arial" w:cs="Arial"/>
          <w:color w:val="auto"/>
        </w:rPr>
      </w:pPr>
      <w:r w:rsidRPr="00C967CC">
        <w:rPr>
          <w:rFonts w:ascii="Arial" w:eastAsia="Times New Roman" w:hAnsi="Arial" w:cs="Arial"/>
          <w:b/>
          <w:color w:val="auto"/>
        </w:rPr>
        <w:t xml:space="preserve"> </w:t>
      </w:r>
      <w:r w:rsidRPr="00C967CC">
        <w:rPr>
          <w:rFonts w:ascii="Arial" w:eastAsia="Times New Roman" w:hAnsi="Arial" w:cs="Arial"/>
          <w:b/>
          <w:color w:val="auto"/>
          <w:u w:val="single"/>
        </w:rPr>
        <w:t>Liquidación del Presupuesto del ejercicio de 2023</w:t>
      </w:r>
      <w:r w:rsidRPr="00C967CC">
        <w:rPr>
          <w:rFonts w:ascii="Arial" w:eastAsia="Times New Roman" w:hAnsi="Arial" w:cs="Arial"/>
          <w:color w:val="auto"/>
        </w:rPr>
        <w:t>. Al estar suspendidas para este año todas las Reglas Fiscales por mor del Acuerdo del Consejo de Ministros de 26 de julio de 2022, no tendrán efectos prácticos sobre la Liquidación presupuestaria de 2023, con lo que la Intervención Municipal en el informe que forma parte del expediente de la misma, se limitará a evaluar los tres objetivos con “efectos únicamente informativos”, al igual que se hizo durante los ejercicios previos de 2020, 2021 y 2022.</w:t>
      </w:r>
    </w:p>
    <w:p w:rsidR="004267C3" w:rsidRDefault="004267C3" w:rsidP="002541DC">
      <w:pPr>
        <w:spacing w:after="0" w:line="250" w:lineRule="auto"/>
        <w:ind w:left="0" w:right="0" w:firstLine="0"/>
        <w:rPr>
          <w:rFonts w:ascii="Arial" w:eastAsia="Times New Roman" w:hAnsi="Arial" w:cs="Arial"/>
          <w:color w:val="auto"/>
        </w:rPr>
      </w:pPr>
    </w:p>
    <w:p w:rsidR="00C967CC" w:rsidRPr="00C967CC" w:rsidRDefault="00C967CC" w:rsidP="00035B26">
      <w:pPr>
        <w:widowControl w:val="0"/>
        <w:spacing w:after="0" w:line="250" w:lineRule="auto"/>
        <w:ind w:left="0" w:right="113" w:firstLine="567"/>
        <w:rPr>
          <w:rFonts w:ascii="Arial" w:eastAsia="Times New Roman" w:hAnsi="Arial" w:cs="Arial"/>
          <w:color w:val="auto"/>
        </w:rPr>
      </w:pPr>
    </w:p>
    <w:p w:rsidR="00C967CC" w:rsidRPr="00C967CC" w:rsidRDefault="00C967CC" w:rsidP="00035B26">
      <w:pPr>
        <w:spacing w:after="120" w:line="250" w:lineRule="auto"/>
        <w:ind w:left="0" w:right="0" w:firstLine="0"/>
        <w:rPr>
          <w:rFonts w:ascii="Arial" w:eastAsia="Times New Roman" w:hAnsi="Arial" w:cs="Arial"/>
          <w:color w:val="auto"/>
        </w:rPr>
      </w:pPr>
      <w:r w:rsidRPr="00C967CC">
        <w:rPr>
          <w:rFonts w:ascii="Arial" w:eastAsia="Times New Roman" w:hAnsi="Arial" w:cs="Arial"/>
          <w:b/>
          <w:color w:val="auto"/>
          <w:u w:val="single"/>
        </w:rPr>
        <w:lastRenderedPageBreak/>
        <w:t>Presupuesto del ejercicio de 2024</w:t>
      </w:r>
      <w:r w:rsidRPr="00C967CC">
        <w:rPr>
          <w:rFonts w:ascii="Arial" w:eastAsia="Times New Roman" w:hAnsi="Arial" w:cs="Arial"/>
          <w:color w:val="auto"/>
        </w:rPr>
        <w:t>. Como ya se ha dicho, durante este año se reactivarán las tres Reglas Fiscales</w:t>
      </w:r>
      <w:r w:rsidR="004267C3">
        <w:rPr>
          <w:rFonts w:ascii="Arial" w:eastAsia="Times New Roman" w:hAnsi="Arial" w:cs="Arial"/>
          <w:color w:val="auto"/>
        </w:rPr>
        <w:t xml:space="preserve"> y, a pesar de que el Parlamento no se ha pronunciado, ello no significa que las reglas fiscales no puedan ser evaluadas en la elaboración del presupuesto en este preciso instante, así:</w:t>
      </w:r>
    </w:p>
    <w:p w:rsidR="00C967CC" w:rsidRPr="002541DC" w:rsidRDefault="00C967CC" w:rsidP="00035B26">
      <w:pPr>
        <w:widowControl w:val="0"/>
        <w:numPr>
          <w:ilvl w:val="0"/>
          <w:numId w:val="30"/>
        </w:numPr>
        <w:spacing w:after="120" w:line="250" w:lineRule="auto"/>
        <w:ind w:left="720" w:right="113"/>
        <w:rPr>
          <w:rFonts w:ascii="Arial" w:eastAsia="Times New Roman" w:hAnsi="Arial" w:cs="Arial"/>
          <w:b/>
          <w:color w:val="auto"/>
          <w:lang w:val="es-ES_tradnl"/>
        </w:rPr>
      </w:pPr>
      <w:r w:rsidRPr="00C967CC">
        <w:rPr>
          <w:rFonts w:ascii="Arial" w:eastAsia="Times New Roman" w:hAnsi="Arial" w:cs="Arial"/>
          <w:b/>
          <w:color w:val="auto"/>
        </w:rPr>
        <w:t>Estabilidad Presupuestaria.</w:t>
      </w:r>
      <w:r w:rsidRPr="00C967CC">
        <w:rPr>
          <w:rFonts w:ascii="Arial" w:eastAsia="Times New Roman" w:hAnsi="Arial" w:cs="Arial"/>
          <w:color w:val="auto"/>
        </w:rPr>
        <w:t xml:space="preserve"> Como refleja el Acuerdo del Consejo de Ministros de 12 de diciembre de 2023, en este año de 2024 el objetivo fijado para este principio es “cero”, es decir, el Presupuesto en su fase de aprobación a nivel de ingresos y gastos no financieros (Capítulos 1 a 7) debe arrojar un resultado de equilibrio o superávit (capacidad de financiación).</w:t>
      </w:r>
    </w:p>
    <w:p w:rsidR="00C967CC" w:rsidRPr="00C967CC" w:rsidRDefault="00C967CC" w:rsidP="00035B26">
      <w:pPr>
        <w:widowControl w:val="0"/>
        <w:numPr>
          <w:ilvl w:val="0"/>
          <w:numId w:val="30"/>
        </w:numPr>
        <w:spacing w:after="120" w:line="250" w:lineRule="auto"/>
        <w:ind w:left="720" w:right="113"/>
        <w:rPr>
          <w:rFonts w:ascii="Arial" w:eastAsia="Times New Roman" w:hAnsi="Arial" w:cs="Arial"/>
          <w:color w:val="auto"/>
        </w:rPr>
      </w:pPr>
      <w:r w:rsidRPr="00C967CC">
        <w:rPr>
          <w:rFonts w:ascii="Arial" w:eastAsia="Times New Roman" w:hAnsi="Arial" w:cs="Arial"/>
          <w:b/>
          <w:color w:val="auto"/>
        </w:rPr>
        <w:t xml:space="preserve">Deuda Pública. </w:t>
      </w:r>
      <w:r w:rsidRPr="00C967CC">
        <w:rPr>
          <w:rFonts w:ascii="Arial" w:eastAsia="Times New Roman" w:hAnsi="Arial" w:cs="Arial"/>
          <w:color w:val="auto"/>
        </w:rPr>
        <w:t>Igualmente, el Acuerdo del Consejo de Ministros de 12 de diciembre de 2023 fija los límites de deuda pública de las Entidades Locales para el período 2024-2026 en los términos recogidos en el cuadro anterior. Ahora bien, como estos porcentajes están expresados en términos nominales del Producto Interior Bruto y se refieren al conjunto del sector de las Entidades Locales, no tiene una aplicación práctica para las mismas o, lo que es lo mismo</w:t>
      </w:r>
      <w:r w:rsidRPr="00C967CC">
        <w:rPr>
          <w:rFonts w:ascii="Arial" w:eastAsia="Times New Roman" w:hAnsi="Arial" w:cs="Arial"/>
          <w:b/>
          <w:color w:val="auto"/>
        </w:rPr>
        <w:t xml:space="preserve">, </w:t>
      </w:r>
      <w:r w:rsidRPr="00C967CC">
        <w:rPr>
          <w:rFonts w:ascii="Arial" w:eastAsia="Times New Roman" w:hAnsi="Arial" w:cs="Arial"/>
          <w:color w:val="auto"/>
        </w:rPr>
        <w:t>no existe objetivo de deuda pública para las Entidades Locales individualmente consideradas. Sobre esta base de ausencia de objetivo de deuda pública, sin embargo, debe tenerse en cuenta lo siguiente:</w:t>
      </w:r>
    </w:p>
    <w:p w:rsidR="00C967CC" w:rsidRPr="00C967CC" w:rsidRDefault="00C967CC" w:rsidP="00035B26">
      <w:pPr>
        <w:widowControl w:val="0"/>
        <w:numPr>
          <w:ilvl w:val="0"/>
          <w:numId w:val="28"/>
        </w:numPr>
        <w:spacing w:after="120" w:line="250" w:lineRule="auto"/>
        <w:ind w:left="1077" w:right="113" w:hanging="357"/>
        <w:rPr>
          <w:rFonts w:ascii="Arial" w:eastAsia="Times New Roman" w:hAnsi="Arial" w:cs="Arial"/>
          <w:color w:val="auto"/>
        </w:rPr>
      </w:pPr>
      <w:r w:rsidRPr="00C967CC">
        <w:rPr>
          <w:rFonts w:ascii="Arial" w:eastAsia="Times New Roman" w:hAnsi="Arial" w:cs="Arial"/>
          <w:b/>
          <w:color w:val="auto"/>
        </w:rPr>
        <w:t>Para la concertación de nuevas operaciones de endeudamiento que se prevean para 2024</w:t>
      </w:r>
      <w:r w:rsidRPr="00C967CC">
        <w:rPr>
          <w:rFonts w:ascii="Arial" w:eastAsia="Times New Roman" w:hAnsi="Arial" w:cs="Arial"/>
          <w:color w:val="auto"/>
        </w:rPr>
        <w:t>, sigue siendo aplicable el régimen jurídico recogido en los artículos 48 a 55 del TRLRHL, así como la Disposición Final 31ª de la Ley 17/2012, de diciembre, de Presupuestos Generales del Estado para el año 2013 (LPGE 2013), de forma que el nivel máximo de deuda, su destino y procedimiento es el regulado en estas disposiciones.</w:t>
      </w:r>
    </w:p>
    <w:p w:rsidR="00C967CC" w:rsidRPr="00C967CC" w:rsidRDefault="00C967CC" w:rsidP="00035B26">
      <w:pPr>
        <w:widowControl w:val="0"/>
        <w:numPr>
          <w:ilvl w:val="0"/>
          <w:numId w:val="28"/>
        </w:numPr>
        <w:spacing w:after="120" w:line="250" w:lineRule="auto"/>
        <w:ind w:left="1077" w:right="113" w:hanging="357"/>
        <w:rPr>
          <w:rFonts w:ascii="Arial" w:eastAsia="Times New Roman" w:hAnsi="Arial" w:cs="Arial"/>
          <w:color w:val="auto"/>
        </w:rPr>
      </w:pPr>
      <w:r w:rsidRPr="00C967CC">
        <w:rPr>
          <w:rFonts w:ascii="Arial" w:eastAsia="Times New Roman" w:hAnsi="Arial" w:cs="Arial"/>
          <w:color w:val="auto"/>
        </w:rPr>
        <w:t>Y, por tanto, la deuda de las Entidades Locales debe medirse en términos de ahorro neto, deuda viva y límite de endeudamiento a efectos del régimen de autorización de nuevas operaciones de crédito, así como de prudencia financiera.</w:t>
      </w:r>
    </w:p>
    <w:p w:rsidR="00C967CC" w:rsidRDefault="00C967CC" w:rsidP="00035B26">
      <w:pPr>
        <w:widowControl w:val="0"/>
        <w:numPr>
          <w:ilvl w:val="0"/>
          <w:numId w:val="28"/>
        </w:numPr>
        <w:spacing w:after="240" w:line="250" w:lineRule="auto"/>
        <w:ind w:left="1077" w:right="113" w:hanging="357"/>
        <w:rPr>
          <w:rFonts w:ascii="Arial" w:eastAsia="Times New Roman" w:hAnsi="Arial" w:cs="Arial"/>
          <w:color w:val="auto"/>
        </w:rPr>
      </w:pPr>
      <w:r w:rsidRPr="00C967CC">
        <w:rPr>
          <w:rFonts w:ascii="Arial" w:eastAsia="Times New Roman" w:hAnsi="Arial" w:cs="Arial"/>
          <w:color w:val="auto"/>
        </w:rPr>
        <w:t xml:space="preserve">No obstante, aun cuando no haya objetivo de deuda pública para las Entidades Locales, en el </w:t>
      </w:r>
      <w:r w:rsidRPr="00C967CC">
        <w:rPr>
          <w:rFonts w:ascii="Arial" w:eastAsia="Times New Roman" w:hAnsi="Arial" w:cs="Arial"/>
          <w:b/>
          <w:color w:val="auto"/>
        </w:rPr>
        <w:t xml:space="preserve">informe de estabilidad presupuestaria </w:t>
      </w:r>
      <w:r w:rsidRPr="00C967CC">
        <w:rPr>
          <w:rFonts w:ascii="Arial" w:eastAsia="Times New Roman" w:hAnsi="Arial" w:cs="Arial"/>
          <w:color w:val="auto"/>
        </w:rPr>
        <w:t>que forma parte del expediente del presupuesto, deberá informarse sobre el volumen de endeudamiento, tanto de la existente como de la prevista o, en su caso, de la inexistencia de deuda.</w:t>
      </w:r>
    </w:p>
    <w:p w:rsidR="00C967CC" w:rsidRPr="00C967CC" w:rsidRDefault="00C967CC" w:rsidP="00035B26">
      <w:pPr>
        <w:widowControl w:val="0"/>
        <w:numPr>
          <w:ilvl w:val="0"/>
          <w:numId w:val="30"/>
        </w:numPr>
        <w:spacing w:after="120" w:line="250" w:lineRule="auto"/>
        <w:ind w:left="720" w:right="113"/>
        <w:rPr>
          <w:rFonts w:ascii="Arial" w:eastAsia="Times New Roman" w:hAnsi="Arial" w:cs="Arial"/>
          <w:color w:val="auto"/>
          <w:sz w:val="16"/>
          <w:szCs w:val="16"/>
        </w:rPr>
      </w:pPr>
      <w:r w:rsidRPr="00C967CC">
        <w:rPr>
          <w:rFonts w:ascii="Arial" w:eastAsia="Times New Roman" w:hAnsi="Arial" w:cs="Arial"/>
          <w:b/>
          <w:color w:val="auto"/>
          <w:u w:val="single"/>
        </w:rPr>
        <w:t>Regla de Gasto.</w:t>
      </w:r>
      <w:r w:rsidRPr="00C967CC">
        <w:rPr>
          <w:rFonts w:ascii="Arial" w:eastAsia="Times New Roman" w:hAnsi="Arial" w:cs="Arial"/>
          <w:b/>
          <w:color w:val="auto"/>
        </w:rPr>
        <w:t xml:space="preserve"> </w:t>
      </w:r>
      <w:r w:rsidRPr="00C967CC">
        <w:rPr>
          <w:rFonts w:ascii="Arial" w:eastAsia="Times New Roman" w:hAnsi="Arial" w:cs="Arial"/>
          <w:color w:val="auto"/>
        </w:rPr>
        <w:t>Su cálculo es</w:t>
      </w:r>
      <w:r w:rsidRPr="00C967CC">
        <w:rPr>
          <w:rFonts w:ascii="Arial" w:eastAsia="Times New Roman" w:hAnsi="Arial" w:cs="Arial"/>
          <w:b/>
          <w:color w:val="auto"/>
        </w:rPr>
        <w:t xml:space="preserve"> potestativo</w:t>
      </w:r>
      <w:r w:rsidRPr="00C967CC">
        <w:rPr>
          <w:rFonts w:ascii="Arial" w:eastAsia="Times New Roman" w:hAnsi="Arial" w:cs="Arial"/>
          <w:color w:val="auto"/>
        </w:rPr>
        <w:t xml:space="preserve"> con ocasión de la aprobación del presupuesto. Sin embargo sí que es preceptivo calcular y aprobar el límite máximo de gasto financiero o techo de gasto (artículo 30 </w:t>
      </w:r>
      <w:proofErr w:type="gramStart"/>
      <w:r w:rsidRPr="00C967CC">
        <w:rPr>
          <w:rFonts w:ascii="Arial" w:eastAsia="Times New Roman" w:hAnsi="Arial" w:cs="Arial"/>
          <w:color w:val="auto"/>
        </w:rPr>
        <w:t>LOEPSF)</w:t>
      </w:r>
      <w:r w:rsidRPr="00C967CC">
        <w:rPr>
          <w:rFonts w:ascii="Arial" w:eastAsia="Times New Roman" w:hAnsi="Arial" w:cs="Arial"/>
          <w:color w:val="auto"/>
          <w:vertAlign w:val="superscript"/>
        </w:rPr>
        <w:t>(</w:t>
      </w:r>
      <w:proofErr w:type="gramEnd"/>
      <w:r w:rsidRPr="00C967CC">
        <w:rPr>
          <w:rFonts w:ascii="Arial" w:eastAsia="Times New Roman" w:hAnsi="Arial" w:cs="Arial"/>
          <w:color w:val="auto"/>
          <w:vertAlign w:val="superscript"/>
        </w:rPr>
        <w:t>1)</w:t>
      </w:r>
      <w:r w:rsidRPr="00C967CC">
        <w:rPr>
          <w:rFonts w:ascii="Arial" w:eastAsia="Times New Roman" w:hAnsi="Arial" w:cs="Arial"/>
          <w:color w:val="auto"/>
        </w:rPr>
        <w:t xml:space="preserve"> a efectos de establecer determinados límites o márgenes que puedan garantizar el cumplimiento de la regla de gasto en  la liquidación del  presupuesto de 2024,  momento  en el que es obligatorio calcularla y evaluar por la Intervención Municipal si se ha cumplido o no con este objetivo. Por ello. con arreglo a un criterio de prudencia, se aconseja realizar una estimación de la regla de gasto en la aprobación del presupuesto de cara a proyectar la posible evolución del gasto municipal en la liquidación del presupuesto.</w:t>
      </w:r>
    </w:p>
    <w:p w:rsidR="00306294" w:rsidRDefault="00C967CC" w:rsidP="00035B26">
      <w:pPr>
        <w:widowControl w:val="0"/>
        <w:spacing w:after="120" w:line="250" w:lineRule="auto"/>
        <w:ind w:left="709" w:right="113" w:firstLine="0"/>
        <w:rPr>
          <w:rFonts w:ascii="Arial" w:eastAsia="Times New Roman" w:hAnsi="Arial" w:cs="Arial"/>
          <w:color w:val="auto"/>
        </w:rPr>
      </w:pPr>
      <w:r w:rsidRPr="00C967CC">
        <w:rPr>
          <w:rFonts w:ascii="Arial" w:eastAsia="Times New Roman" w:hAnsi="Arial" w:cs="Arial"/>
          <w:color w:val="auto"/>
        </w:rPr>
        <w:t>Como se ha anticipado más arriba, hay que esperar a la toma de decisione</w:t>
      </w:r>
      <w:r w:rsidR="007C7602">
        <w:rPr>
          <w:rFonts w:ascii="Arial" w:eastAsia="Times New Roman" w:hAnsi="Arial" w:cs="Arial"/>
          <w:color w:val="auto"/>
        </w:rPr>
        <w:t xml:space="preserve">s por parte de las autoridades </w:t>
      </w:r>
      <w:r w:rsidRPr="00C967CC">
        <w:rPr>
          <w:rFonts w:ascii="Arial" w:eastAsia="Times New Roman" w:hAnsi="Arial" w:cs="Arial"/>
          <w:color w:val="auto"/>
        </w:rPr>
        <w:t xml:space="preserve">nacionales para disponer de un dato preciso sobre regla de gasto aplicable a las Entidades Locales. No obstante, aún en ausencia de una cifra concreta </w:t>
      </w:r>
      <w:proofErr w:type="gramStart"/>
      <w:r w:rsidRPr="00C967CC">
        <w:rPr>
          <w:rFonts w:ascii="Arial" w:eastAsia="Times New Roman" w:hAnsi="Arial" w:cs="Arial"/>
          <w:color w:val="auto"/>
        </w:rPr>
        <w:t>sobre</w:t>
      </w:r>
      <w:r w:rsidR="00306294">
        <w:rPr>
          <w:rFonts w:ascii="Arial" w:eastAsia="Times New Roman" w:hAnsi="Arial" w:cs="Arial"/>
          <w:color w:val="auto"/>
        </w:rPr>
        <w:t xml:space="preserve"> </w:t>
      </w:r>
      <w:r w:rsidRPr="00C967CC">
        <w:rPr>
          <w:rFonts w:ascii="Arial" w:eastAsia="Times New Roman" w:hAnsi="Arial" w:cs="Arial"/>
          <w:color w:val="auto"/>
        </w:rPr>
        <w:t xml:space="preserve"> este</w:t>
      </w:r>
      <w:proofErr w:type="gramEnd"/>
      <w:r w:rsidRPr="00C967CC">
        <w:rPr>
          <w:rFonts w:ascii="Arial" w:eastAsia="Times New Roman" w:hAnsi="Arial" w:cs="Arial"/>
          <w:color w:val="auto"/>
        </w:rPr>
        <w:t xml:space="preserve"> </w:t>
      </w:r>
      <w:r w:rsidR="00306294">
        <w:rPr>
          <w:rFonts w:ascii="Arial" w:eastAsia="Times New Roman" w:hAnsi="Arial" w:cs="Arial"/>
          <w:color w:val="auto"/>
        </w:rPr>
        <w:t xml:space="preserve"> </w:t>
      </w:r>
      <w:r w:rsidRPr="00C967CC">
        <w:rPr>
          <w:rFonts w:ascii="Arial" w:eastAsia="Times New Roman" w:hAnsi="Arial" w:cs="Arial"/>
          <w:color w:val="auto"/>
        </w:rPr>
        <w:t xml:space="preserve">parámetro, </w:t>
      </w:r>
      <w:r w:rsidR="00306294">
        <w:rPr>
          <w:rFonts w:ascii="Arial" w:eastAsia="Times New Roman" w:hAnsi="Arial" w:cs="Arial"/>
          <w:color w:val="auto"/>
        </w:rPr>
        <w:t xml:space="preserve"> </w:t>
      </w:r>
      <w:r w:rsidRPr="00C967CC">
        <w:rPr>
          <w:rFonts w:ascii="Arial" w:eastAsia="Times New Roman" w:hAnsi="Arial" w:cs="Arial"/>
          <w:color w:val="auto"/>
        </w:rPr>
        <w:t>es</w:t>
      </w:r>
      <w:r w:rsidR="00306294">
        <w:rPr>
          <w:rFonts w:ascii="Arial" w:eastAsia="Times New Roman" w:hAnsi="Arial" w:cs="Arial"/>
          <w:color w:val="auto"/>
        </w:rPr>
        <w:t xml:space="preserve"> </w:t>
      </w:r>
      <w:r w:rsidRPr="00C967CC">
        <w:rPr>
          <w:rFonts w:ascii="Arial" w:eastAsia="Times New Roman" w:hAnsi="Arial" w:cs="Arial"/>
          <w:color w:val="auto"/>
        </w:rPr>
        <w:t xml:space="preserve"> posible </w:t>
      </w:r>
      <w:r w:rsidR="00306294">
        <w:rPr>
          <w:rFonts w:ascii="Arial" w:eastAsia="Times New Roman" w:hAnsi="Arial" w:cs="Arial"/>
          <w:color w:val="auto"/>
        </w:rPr>
        <w:t xml:space="preserve"> </w:t>
      </w:r>
      <w:r w:rsidRPr="00C967CC">
        <w:rPr>
          <w:rFonts w:ascii="Arial" w:eastAsia="Times New Roman" w:hAnsi="Arial" w:cs="Arial"/>
          <w:color w:val="auto"/>
        </w:rPr>
        <w:t xml:space="preserve">obtener </w:t>
      </w:r>
      <w:r w:rsidR="00306294">
        <w:rPr>
          <w:rFonts w:ascii="Arial" w:eastAsia="Times New Roman" w:hAnsi="Arial" w:cs="Arial"/>
          <w:color w:val="auto"/>
        </w:rPr>
        <w:t xml:space="preserve"> </w:t>
      </w:r>
      <w:r w:rsidRPr="00C967CC">
        <w:rPr>
          <w:rFonts w:ascii="Arial" w:eastAsia="Times New Roman" w:hAnsi="Arial" w:cs="Arial"/>
          <w:color w:val="auto"/>
        </w:rPr>
        <w:t>un</w:t>
      </w:r>
      <w:r w:rsidR="00306294">
        <w:rPr>
          <w:rFonts w:ascii="Arial" w:eastAsia="Times New Roman" w:hAnsi="Arial" w:cs="Arial"/>
          <w:color w:val="auto"/>
        </w:rPr>
        <w:t xml:space="preserve"> </w:t>
      </w:r>
      <w:r w:rsidRPr="00C967CC">
        <w:rPr>
          <w:rFonts w:ascii="Arial" w:eastAsia="Times New Roman" w:hAnsi="Arial" w:cs="Arial"/>
          <w:color w:val="auto"/>
        </w:rPr>
        <w:t xml:space="preserve"> cálculo </w:t>
      </w:r>
      <w:r w:rsidR="00306294">
        <w:rPr>
          <w:rFonts w:ascii="Arial" w:eastAsia="Times New Roman" w:hAnsi="Arial" w:cs="Arial"/>
          <w:color w:val="auto"/>
        </w:rPr>
        <w:t xml:space="preserve"> </w:t>
      </w:r>
      <w:r w:rsidRPr="00C967CC">
        <w:rPr>
          <w:rFonts w:ascii="Arial" w:eastAsia="Times New Roman" w:hAnsi="Arial" w:cs="Arial"/>
          <w:color w:val="auto"/>
        </w:rPr>
        <w:t xml:space="preserve">del </w:t>
      </w:r>
      <w:r w:rsidR="00306294">
        <w:rPr>
          <w:rFonts w:ascii="Arial" w:eastAsia="Times New Roman" w:hAnsi="Arial" w:cs="Arial"/>
          <w:color w:val="auto"/>
        </w:rPr>
        <w:t xml:space="preserve"> </w:t>
      </w:r>
      <w:r w:rsidRPr="00C967CC">
        <w:rPr>
          <w:rFonts w:ascii="Arial" w:eastAsia="Times New Roman" w:hAnsi="Arial" w:cs="Arial"/>
          <w:color w:val="auto"/>
        </w:rPr>
        <w:t>mismo</w:t>
      </w:r>
      <w:r w:rsidR="00306294">
        <w:rPr>
          <w:rFonts w:ascii="Arial" w:eastAsia="Times New Roman" w:hAnsi="Arial" w:cs="Arial"/>
          <w:color w:val="auto"/>
        </w:rPr>
        <w:t xml:space="preserve"> </w:t>
      </w:r>
      <w:r w:rsidRPr="00C967CC">
        <w:rPr>
          <w:rFonts w:ascii="Arial" w:eastAsia="Times New Roman" w:hAnsi="Arial" w:cs="Arial"/>
          <w:color w:val="auto"/>
        </w:rPr>
        <w:t xml:space="preserve"> aplicando al gasto</w:t>
      </w:r>
    </w:p>
    <w:p w:rsidR="00306294" w:rsidRDefault="00306294" w:rsidP="00035B26">
      <w:pPr>
        <w:widowControl w:val="0"/>
        <w:spacing w:after="120" w:line="250" w:lineRule="auto"/>
        <w:ind w:left="709" w:right="113" w:firstLine="0"/>
        <w:rPr>
          <w:rFonts w:ascii="Arial" w:eastAsia="Times New Roman" w:hAnsi="Arial" w:cs="Arial"/>
          <w:color w:val="auto"/>
        </w:rPr>
      </w:pPr>
    </w:p>
    <w:p w:rsidR="00C967CC" w:rsidRDefault="00C967CC" w:rsidP="00035B26">
      <w:pPr>
        <w:widowControl w:val="0"/>
        <w:spacing w:after="120" w:line="250" w:lineRule="auto"/>
        <w:ind w:left="709" w:right="113" w:firstLine="0"/>
        <w:rPr>
          <w:rFonts w:ascii="Arial" w:eastAsia="Times New Roman" w:hAnsi="Arial" w:cs="Arial"/>
          <w:color w:val="auto"/>
        </w:rPr>
      </w:pPr>
      <w:r w:rsidRPr="00C967CC">
        <w:rPr>
          <w:rFonts w:ascii="Arial" w:eastAsia="Times New Roman" w:hAnsi="Arial" w:cs="Arial"/>
          <w:color w:val="auto"/>
        </w:rPr>
        <w:t>computable una tasa de variación que marcaría el incremento máximo del gasto para 2024, es decir, con idéntica operativa a la empleada en las Liquidaciones de los ejercicios 2019 y anteriores:</w:t>
      </w:r>
    </w:p>
    <w:p w:rsidR="00C967CC" w:rsidRPr="00C967CC" w:rsidRDefault="00C967CC" w:rsidP="00035B26">
      <w:pPr>
        <w:widowControl w:val="0"/>
        <w:numPr>
          <w:ilvl w:val="0"/>
          <w:numId w:val="29"/>
        </w:numPr>
        <w:spacing w:after="120" w:line="250" w:lineRule="auto"/>
        <w:ind w:left="1134" w:right="113" w:hanging="283"/>
        <w:rPr>
          <w:rFonts w:ascii="Arial" w:eastAsia="Times New Roman" w:hAnsi="Arial" w:cs="Arial"/>
          <w:color w:val="auto"/>
        </w:rPr>
      </w:pPr>
      <w:r w:rsidRPr="00C967CC">
        <w:rPr>
          <w:rFonts w:ascii="Arial" w:eastAsia="Times New Roman" w:hAnsi="Arial" w:cs="Arial"/>
          <w:color w:val="auto"/>
        </w:rPr>
        <w:lastRenderedPageBreak/>
        <w:t xml:space="preserve">La </w:t>
      </w:r>
      <w:r w:rsidRPr="00C967CC">
        <w:rPr>
          <w:rFonts w:ascii="Arial" w:eastAsia="Times New Roman" w:hAnsi="Arial" w:cs="Arial"/>
          <w:b/>
          <w:color w:val="auto"/>
        </w:rPr>
        <w:t xml:space="preserve">base de cálculo (Gasto computable) </w:t>
      </w:r>
      <w:r w:rsidRPr="00C967CC">
        <w:rPr>
          <w:rFonts w:ascii="Arial" w:eastAsia="Times New Roman" w:hAnsi="Arial" w:cs="Arial"/>
          <w:color w:val="auto"/>
        </w:rPr>
        <w:t>se obtendría del “Gasto estimado de los Capítulos 1 a 7 de la liquidación del presupuesto de 2023” que en estos momentos ya se encuentra muy avanzada.</w:t>
      </w:r>
    </w:p>
    <w:p w:rsidR="00C967CC" w:rsidRPr="007C7602" w:rsidRDefault="00C967CC" w:rsidP="00465F18">
      <w:pPr>
        <w:widowControl w:val="0"/>
        <w:numPr>
          <w:ilvl w:val="0"/>
          <w:numId w:val="29"/>
        </w:numPr>
        <w:spacing w:after="120" w:line="250" w:lineRule="auto"/>
        <w:ind w:left="1134" w:right="113" w:firstLine="0"/>
        <w:rPr>
          <w:rFonts w:ascii="Arial" w:eastAsia="Times New Roman" w:hAnsi="Arial" w:cs="Arial"/>
          <w:color w:val="auto"/>
        </w:rPr>
      </w:pPr>
      <w:r w:rsidRPr="007C7602">
        <w:rPr>
          <w:rFonts w:ascii="Arial" w:eastAsia="Times New Roman" w:hAnsi="Arial" w:cs="Arial"/>
          <w:b/>
          <w:color w:val="auto"/>
        </w:rPr>
        <w:t>Tasa de variación: máximo 2,6%</w:t>
      </w:r>
      <w:r w:rsidRPr="007C7602">
        <w:rPr>
          <w:rFonts w:ascii="Arial" w:eastAsia="Times New Roman" w:hAnsi="Arial" w:cs="Arial"/>
          <w:color w:val="auto"/>
        </w:rPr>
        <w:t>. Esta tasa que hasta la suspensión de las reglas fiscales en 2020 venía dada por la Tasa de referencia de crecimiento del PIB</w:t>
      </w:r>
      <w:r w:rsidR="00536C5A">
        <w:rPr>
          <w:rFonts w:ascii="Arial" w:eastAsia="Times New Roman" w:hAnsi="Arial" w:cs="Arial"/>
          <w:color w:val="auto"/>
        </w:rPr>
        <w:t>”</w:t>
      </w:r>
      <w:r w:rsidRPr="007C7602">
        <w:rPr>
          <w:rFonts w:ascii="Arial" w:eastAsia="Times New Roman" w:hAnsi="Arial" w:cs="Arial"/>
          <w:color w:val="auto"/>
        </w:rPr>
        <w:t>, en 2024 pasa a sustituirse por el denominado “</w:t>
      </w:r>
      <w:r w:rsidRPr="007C7602">
        <w:rPr>
          <w:rFonts w:ascii="Arial" w:eastAsia="Times New Roman" w:hAnsi="Arial" w:cs="Arial"/>
          <w:b/>
          <w:color w:val="auto"/>
        </w:rPr>
        <w:t>Máximo de aumento del gasto primario neto en 2024</w:t>
      </w:r>
      <w:r w:rsidR="005C6398" w:rsidRPr="007C7602">
        <w:rPr>
          <w:rFonts w:ascii="Arial" w:eastAsia="Times New Roman" w:hAnsi="Arial" w:cs="Arial"/>
          <w:color w:val="auto"/>
          <w:vertAlign w:val="superscript"/>
        </w:rPr>
        <w:t>”(</w:t>
      </w:r>
      <w:r w:rsidR="00112721" w:rsidRPr="007C7602">
        <w:rPr>
          <w:rFonts w:ascii="Arial" w:eastAsia="Times New Roman" w:hAnsi="Arial" w:cs="Arial"/>
          <w:color w:val="auto"/>
          <w:vertAlign w:val="superscript"/>
        </w:rPr>
        <w:t>2</w:t>
      </w:r>
      <w:r w:rsidRPr="007C7602">
        <w:rPr>
          <w:rFonts w:ascii="Arial" w:eastAsia="Times New Roman" w:hAnsi="Arial" w:cs="Arial"/>
          <w:color w:val="auto"/>
          <w:vertAlign w:val="superscript"/>
        </w:rPr>
        <w:t>)</w:t>
      </w:r>
      <w:r w:rsidRPr="007C7602">
        <w:rPr>
          <w:rFonts w:ascii="Arial" w:eastAsia="Times New Roman" w:hAnsi="Arial" w:cs="Arial"/>
          <w:color w:val="auto"/>
        </w:rPr>
        <w:t xml:space="preserve"> según la recomendación de la Comisión Europea </w:t>
      </w:r>
      <w:r w:rsidR="007C7602">
        <w:rPr>
          <w:rFonts w:ascii="Arial" w:eastAsia="Times New Roman" w:hAnsi="Arial" w:cs="Arial"/>
          <w:color w:val="auto"/>
        </w:rPr>
        <w:t xml:space="preserve"> a España contenido en el</w:t>
      </w:r>
      <w:r w:rsidRPr="007C7602">
        <w:rPr>
          <w:rFonts w:ascii="Arial" w:eastAsia="Times New Roman" w:hAnsi="Arial" w:cs="Arial"/>
          <w:color w:val="auto"/>
        </w:rPr>
        <w:t xml:space="preserve"> “Paquete de </w:t>
      </w:r>
      <w:r w:rsidR="00536C5A">
        <w:rPr>
          <w:rFonts w:ascii="Arial" w:eastAsia="Times New Roman" w:hAnsi="Arial" w:cs="Arial"/>
          <w:color w:val="auto"/>
        </w:rPr>
        <w:t>P</w:t>
      </w:r>
      <w:r w:rsidRPr="007C7602">
        <w:rPr>
          <w:rFonts w:ascii="Arial" w:eastAsia="Times New Roman" w:hAnsi="Arial" w:cs="Arial"/>
          <w:color w:val="auto"/>
        </w:rPr>
        <w:t>rimavera”, y que se establece como un indicador operativo único que servirá de base para establecer la senda de ajuste presupuestario y para realizar una supervisión presupuestaria anual, lo que pretende simplificar significativamente el marco.</w:t>
      </w:r>
    </w:p>
    <w:p w:rsidR="00C967CC" w:rsidRPr="00C967CC" w:rsidRDefault="00C967CC" w:rsidP="00035B26">
      <w:pPr>
        <w:widowControl w:val="0"/>
        <w:numPr>
          <w:ilvl w:val="0"/>
          <w:numId w:val="29"/>
        </w:numPr>
        <w:spacing w:after="0" w:line="250" w:lineRule="auto"/>
        <w:ind w:left="1134" w:right="113" w:hanging="283"/>
        <w:rPr>
          <w:rFonts w:ascii="Arial" w:eastAsia="Times New Roman" w:hAnsi="Arial" w:cs="Arial"/>
          <w:color w:val="auto"/>
        </w:rPr>
      </w:pPr>
      <w:r w:rsidRPr="00C967CC">
        <w:rPr>
          <w:rFonts w:ascii="Arial" w:eastAsia="Times New Roman" w:hAnsi="Arial" w:cs="Arial"/>
          <w:color w:val="auto"/>
        </w:rPr>
        <w:t>Lógicamente para determinar este límite de Regla de Gasto también deberán practicarse los correspondientes Ajustes SEC 2010 y los derivados de los gastos financiados con fondos finalistas y por cambios normativos que supongan cambios permanentes en la recaudación.</w:t>
      </w:r>
    </w:p>
    <w:p w:rsidR="00C967CC" w:rsidRPr="00C967CC" w:rsidRDefault="00C967CC" w:rsidP="00035B26">
      <w:pPr>
        <w:widowControl w:val="0"/>
        <w:spacing w:after="0" w:line="250" w:lineRule="auto"/>
        <w:ind w:left="0" w:right="113" w:firstLine="567"/>
        <w:rPr>
          <w:rFonts w:ascii="Arial" w:eastAsia="Times New Roman" w:hAnsi="Arial" w:cs="Arial"/>
          <w:color w:val="auto"/>
        </w:rPr>
      </w:pPr>
    </w:p>
    <w:p w:rsidR="00C967CC" w:rsidRPr="00C967CC" w:rsidRDefault="00C967CC" w:rsidP="00FE1565">
      <w:pPr>
        <w:spacing w:after="120" w:line="250" w:lineRule="auto"/>
        <w:ind w:left="0" w:right="0" w:firstLine="0"/>
        <w:rPr>
          <w:rFonts w:ascii="Arial" w:eastAsia="Times New Roman" w:hAnsi="Arial" w:cs="Arial"/>
          <w:color w:val="auto"/>
        </w:rPr>
      </w:pPr>
      <w:r w:rsidRPr="00C967CC">
        <w:rPr>
          <w:rFonts w:ascii="Arial" w:eastAsia="Times New Roman" w:hAnsi="Arial" w:cs="Arial"/>
          <w:b/>
          <w:color w:val="auto"/>
          <w:u w:val="single"/>
        </w:rPr>
        <w:t>Liquidación del Presupuesto del ejercicio de 2024</w:t>
      </w:r>
      <w:r w:rsidRPr="00C967CC">
        <w:rPr>
          <w:rFonts w:ascii="Arial" w:eastAsia="Times New Roman" w:hAnsi="Arial" w:cs="Arial"/>
          <w:color w:val="auto"/>
        </w:rPr>
        <w:t>. Con todas las reglas fiscales ya en vigor a 31 de diciembre de 2024</w:t>
      </w:r>
      <w:r w:rsidR="00536C5A">
        <w:rPr>
          <w:rFonts w:ascii="Arial" w:eastAsia="Times New Roman" w:hAnsi="Arial" w:cs="Arial"/>
          <w:color w:val="auto"/>
        </w:rPr>
        <w:t>,</w:t>
      </w:r>
      <w:r w:rsidR="005129E8">
        <w:rPr>
          <w:rFonts w:ascii="Arial" w:eastAsia="Times New Roman" w:hAnsi="Arial" w:cs="Arial"/>
          <w:color w:val="auto"/>
        </w:rPr>
        <w:t xml:space="preserve"> en principio, y salvo que finalmente sean de aplicación los objetivos comprendidos en el Paquete de Primavera</w:t>
      </w:r>
      <w:r w:rsidR="00536C5A">
        <w:rPr>
          <w:rFonts w:ascii="Arial" w:eastAsia="Times New Roman" w:hAnsi="Arial" w:cs="Arial"/>
          <w:color w:val="auto"/>
        </w:rPr>
        <w:t xml:space="preserve"> por ausencia de acuerdo en el Parlamento Español</w:t>
      </w:r>
      <w:r w:rsidR="005129E8">
        <w:rPr>
          <w:rFonts w:ascii="Arial" w:eastAsia="Times New Roman" w:hAnsi="Arial" w:cs="Arial"/>
          <w:color w:val="auto"/>
        </w:rPr>
        <w:t>,</w:t>
      </w:r>
      <w:r w:rsidRPr="00C967CC">
        <w:rPr>
          <w:rFonts w:ascii="Arial" w:eastAsia="Times New Roman" w:hAnsi="Arial" w:cs="Arial"/>
          <w:color w:val="auto"/>
        </w:rPr>
        <w:t xml:space="preserve"> deberán evaluarse por la Intervención Municipal:</w:t>
      </w:r>
    </w:p>
    <w:p w:rsidR="00C967CC" w:rsidRPr="00C967CC" w:rsidRDefault="00C967CC" w:rsidP="00FE1565">
      <w:pPr>
        <w:widowControl w:val="0"/>
        <w:numPr>
          <w:ilvl w:val="0"/>
          <w:numId w:val="30"/>
        </w:numPr>
        <w:spacing w:after="120" w:line="250" w:lineRule="auto"/>
        <w:ind w:left="567" w:right="113" w:hanging="283"/>
        <w:rPr>
          <w:rFonts w:ascii="Arial" w:eastAsia="Times New Roman" w:hAnsi="Arial" w:cs="Arial"/>
          <w:b/>
          <w:color w:val="auto"/>
          <w:lang w:val="es-ES_tradnl"/>
        </w:rPr>
      </w:pPr>
      <w:r w:rsidRPr="00536C5A">
        <w:rPr>
          <w:rFonts w:ascii="Arial" w:eastAsia="Times New Roman" w:hAnsi="Arial" w:cs="Arial"/>
          <w:color w:val="auto"/>
        </w:rPr>
        <w:t xml:space="preserve">La </w:t>
      </w:r>
      <w:r w:rsidRPr="00C967CC">
        <w:rPr>
          <w:rFonts w:ascii="Arial" w:eastAsia="Times New Roman" w:hAnsi="Arial" w:cs="Arial"/>
          <w:b/>
          <w:color w:val="auto"/>
        </w:rPr>
        <w:t>Estabilidad Presupuestaria</w:t>
      </w:r>
      <w:r w:rsidRPr="00C967CC">
        <w:rPr>
          <w:rFonts w:ascii="Arial" w:eastAsia="Times New Roman" w:hAnsi="Arial" w:cs="Arial"/>
          <w:color w:val="auto"/>
        </w:rPr>
        <w:t>, con arreglo a las pautas que hemos transcrito para la elaboración del Presupuesto de 2024.</w:t>
      </w:r>
    </w:p>
    <w:p w:rsidR="00C967CC" w:rsidRPr="00C967CC" w:rsidRDefault="00C967CC" w:rsidP="00FE1565">
      <w:pPr>
        <w:widowControl w:val="0"/>
        <w:numPr>
          <w:ilvl w:val="0"/>
          <w:numId w:val="30"/>
        </w:numPr>
        <w:spacing w:after="120" w:line="250" w:lineRule="auto"/>
        <w:ind w:left="567" w:right="113" w:hanging="283"/>
        <w:rPr>
          <w:rFonts w:ascii="Arial" w:eastAsia="Times New Roman" w:hAnsi="Arial" w:cs="Arial"/>
          <w:b/>
          <w:color w:val="auto"/>
          <w:lang w:val="es-ES_tradnl"/>
        </w:rPr>
      </w:pPr>
      <w:r w:rsidRPr="00C967CC">
        <w:rPr>
          <w:rFonts w:ascii="Arial" w:eastAsia="Times New Roman" w:hAnsi="Arial" w:cs="Arial"/>
          <w:color w:val="auto"/>
        </w:rPr>
        <w:t>El mismo criterio debe seguirse para informar sobre la</w:t>
      </w:r>
      <w:r w:rsidRPr="00C967CC">
        <w:rPr>
          <w:rFonts w:ascii="Arial" w:eastAsia="Times New Roman" w:hAnsi="Arial" w:cs="Arial"/>
          <w:b/>
          <w:color w:val="auto"/>
        </w:rPr>
        <w:t xml:space="preserve"> Deuda Pública.</w:t>
      </w:r>
    </w:p>
    <w:p w:rsidR="00C967CC" w:rsidRPr="00C967CC" w:rsidRDefault="00C967CC" w:rsidP="00035B26">
      <w:pPr>
        <w:widowControl w:val="0"/>
        <w:numPr>
          <w:ilvl w:val="0"/>
          <w:numId w:val="30"/>
        </w:numPr>
        <w:spacing w:after="0" w:line="250" w:lineRule="auto"/>
        <w:ind w:left="567" w:right="113" w:hanging="283"/>
        <w:rPr>
          <w:rFonts w:ascii="Arial" w:eastAsia="Times New Roman" w:hAnsi="Arial" w:cs="Arial"/>
          <w:b/>
          <w:color w:val="auto"/>
          <w:lang w:val="es-ES_tradnl"/>
        </w:rPr>
      </w:pPr>
      <w:r w:rsidRPr="00C967CC">
        <w:rPr>
          <w:rFonts w:ascii="Arial" w:eastAsia="Times New Roman" w:hAnsi="Arial" w:cs="Arial"/>
          <w:color w:val="auto"/>
        </w:rPr>
        <w:t>En cuanto al objetivo de</w:t>
      </w:r>
      <w:r w:rsidRPr="00C967CC">
        <w:rPr>
          <w:rFonts w:ascii="Arial" w:eastAsia="Times New Roman" w:hAnsi="Arial" w:cs="Arial"/>
          <w:b/>
          <w:color w:val="auto"/>
        </w:rPr>
        <w:t xml:space="preserve"> Regla de Gasto</w:t>
      </w:r>
      <w:r w:rsidRPr="00C967CC">
        <w:rPr>
          <w:rFonts w:ascii="Arial" w:eastAsia="Times New Roman" w:hAnsi="Arial" w:cs="Arial"/>
          <w:color w:val="auto"/>
        </w:rPr>
        <w:t>, su examen deberá hacerse conforme a las bases de cálculo, tasa de variación y ajustes que fijen próximamente las autoridades  españolas para las Entidades Locales.</w:t>
      </w:r>
    </w:p>
    <w:p w:rsidR="00C967CC" w:rsidRDefault="00C967CC" w:rsidP="00C967CC">
      <w:pPr>
        <w:widowControl w:val="0"/>
        <w:spacing w:after="0" w:line="240" w:lineRule="auto"/>
        <w:ind w:left="644" w:right="113" w:firstLine="0"/>
        <w:rPr>
          <w:rFonts w:ascii="Arial" w:eastAsia="Times New Roman" w:hAnsi="Arial" w:cs="Arial"/>
          <w:color w:val="auto"/>
          <w:highlight w:val="lightGray"/>
        </w:rPr>
      </w:pPr>
    </w:p>
    <w:p w:rsidR="002541DC" w:rsidRDefault="002541DC" w:rsidP="00C967CC">
      <w:pPr>
        <w:widowControl w:val="0"/>
        <w:spacing w:after="0" w:line="240" w:lineRule="auto"/>
        <w:ind w:left="644" w:right="113" w:firstLine="0"/>
        <w:rPr>
          <w:rFonts w:ascii="Arial" w:eastAsia="Times New Roman" w:hAnsi="Arial" w:cs="Arial"/>
          <w:color w:val="auto"/>
          <w:highlight w:val="lightGray"/>
        </w:rPr>
      </w:pPr>
    </w:p>
    <w:p w:rsidR="002541DC" w:rsidRDefault="002541DC" w:rsidP="00C967CC">
      <w:pPr>
        <w:widowControl w:val="0"/>
        <w:spacing w:after="0" w:line="240" w:lineRule="auto"/>
        <w:ind w:left="644" w:right="113" w:firstLine="0"/>
        <w:rPr>
          <w:rFonts w:ascii="Arial" w:eastAsia="Times New Roman" w:hAnsi="Arial" w:cs="Arial"/>
          <w:color w:val="auto"/>
          <w:highlight w:val="lightGray"/>
        </w:rPr>
      </w:pPr>
    </w:p>
    <w:p w:rsidR="00112721" w:rsidRPr="00112721" w:rsidRDefault="00112721" w:rsidP="00112721">
      <w:pPr>
        <w:widowControl w:val="0"/>
        <w:spacing w:after="120" w:line="240" w:lineRule="auto"/>
        <w:ind w:left="284" w:right="113" w:firstLine="0"/>
        <w:rPr>
          <w:rFonts w:ascii="Arial" w:eastAsia="Times New Roman" w:hAnsi="Arial" w:cs="Arial"/>
          <w:color w:val="auto"/>
          <w:sz w:val="18"/>
          <w:szCs w:val="18"/>
        </w:rPr>
      </w:pPr>
      <w:r w:rsidRPr="00112721">
        <w:rPr>
          <w:rFonts w:ascii="Arial" w:eastAsia="Times New Roman" w:hAnsi="Arial" w:cs="Arial"/>
          <w:color w:val="auto"/>
          <w:sz w:val="18"/>
          <w:szCs w:val="18"/>
          <w:vertAlign w:val="superscript"/>
        </w:rPr>
        <w:t>(1)</w:t>
      </w:r>
      <w:r w:rsidRPr="00112721">
        <w:rPr>
          <w:rFonts w:ascii="Arial" w:eastAsia="Times New Roman" w:hAnsi="Arial" w:cs="Arial"/>
          <w:color w:val="auto"/>
          <w:sz w:val="18"/>
          <w:szCs w:val="18"/>
        </w:rPr>
        <w:t xml:space="preserve"> El </w:t>
      </w:r>
      <w:hyperlink r:id="rId10" w:anchor="I161')" w:tooltip="enlace" w:history="1">
        <w:r w:rsidRPr="00112721">
          <w:rPr>
            <w:rFonts w:eastAsia="Times New Roman"/>
            <w:sz w:val="18"/>
            <w:szCs w:val="18"/>
          </w:rPr>
          <w:t>art. 30 LOEPSF</w:t>
        </w:r>
      </w:hyperlink>
      <w:r w:rsidRPr="00112721">
        <w:rPr>
          <w:rFonts w:ascii="Arial" w:eastAsia="Times New Roman" w:hAnsi="Arial" w:cs="Arial"/>
          <w:color w:val="auto"/>
          <w:sz w:val="18"/>
          <w:szCs w:val="18"/>
        </w:rPr>
        <w:t> se refiere a límite de gasto no financiero. Así, las Corporaciones Locales deben aprobar un límite máximo de gasto no financiero, coherente con objetivo de estabilidad presupuestaria y la regla del gasto, que marcará el techo de asignación de recursos de sus presupuestos. De esta forma, el gasto no financiero máximo del presupuesto vendrá limitado por el cumplimiento del objetivo de estabilidad presupuestaria y la regla del gasto, siendo el menor de ambos, es decir:</w:t>
      </w:r>
    </w:p>
    <w:p w:rsidR="00112721" w:rsidRPr="00112721" w:rsidRDefault="00112721" w:rsidP="00112721">
      <w:pPr>
        <w:widowControl w:val="0"/>
        <w:spacing w:after="0" w:line="240" w:lineRule="auto"/>
        <w:ind w:left="284" w:right="113" w:firstLine="0"/>
        <w:jc w:val="center"/>
        <w:rPr>
          <w:rFonts w:ascii="Arial" w:eastAsia="Times New Roman" w:hAnsi="Arial" w:cs="Arial"/>
          <w:color w:val="auto"/>
          <w:sz w:val="16"/>
          <w:szCs w:val="16"/>
        </w:rPr>
      </w:pPr>
      <w:r w:rsidRPr="00112721">
        <w:rPr>
          <w:rFonts w:ascii="Arial" w:eastAsia="Times New Roman" w:hAnsi="Arial" w:cs="Arial"/>
          <w:color w:val="auto"/>
          <w:sz w:val="16"/>
          <w:szCs w:val="16"/>
        </w:rPr>
        <w:t>Gasto no financiero &lt; (Suma de los ingresos no financieros o Gasto computable que cumple con la regla del gasto).</w:t>
      </w:r>
    </w:p>
    <w:p w:rsidR="002541DC" w:rsidRDefault="002541DC" w:rsidP="00C967CC">
      <w:pPr>
        <w:widowControl w:val="0"/>
        <w:spacing w:after="0" w:line="240" w:lineRule="auto"/>
        <w:ind w:left="644" w:right="113" w:firstLine="0"/>
        <w:rPr>
          <w:rFonts w:ascii="Arial" w:eastAsia="Times New Roman" w:hAnsi="Arial" w:cs="Arial"/>
          <w:color w:val="auto"/>
          <w:highlight w:val="lightGray"/>
        </w:rPr>
      </w:pPr>
    </w:p>
    <w:p w:rsidR="002541DC" w:rsidRPr="00C967CC" w:rsidRDefault="002541DC" w:rsidP="00C967CC">
      <w:pPr>
        <w:widowControl w:val="0"/>
        <w:spacing w:after="0" w:line="240" w:lineRule="auto"/>
        <w:ind w:left="644" w:right="113" w:firstLine="0"/>
        <w:rPr>
          <w:rFonts w:ascii="Arial" w:eastAsia="Times New Roman" w:hAnsi="Arial" w:cs="Arial"/>
          <w:color w:val="auto"/>
          <w:highlight w:val="lightGray"/>
        </w:rPr>
      </w:pPr>
    </w:p>
    <w:p w:rsidR="00C967CC" w:rsidRPr="005C6398" w:rsidRDefault="00C967CC" w:rsidP="00C967CC">
      <w:pPr>
        <w:widowControl w:val="0"/>
        <w:spacing w:after="0" w:line="240" w:lineRule="auto"/>
        <w:ind w:left="284" w:right="113" w:firstLine="0"/>
        <w:rPr>
          <w:rFonts w:ascii="Arial" w:eastAsia="Times New Roman" w:hAnsi="Arial" w:cs="Arial"/>
          <w:color w:val="auto"/>
          <w:sz w:val="18"/>
          <w:szCs w:val="18"/>
          <w:highlight w:val="lightGray"/>
        </w:rPr>
      </w:pPr>
      <w:r w:rsidRPr="005C6398">
        <w:rPr>
          <w:rFonts w:ascii="Arial" w:eastAsia="Times New Roman" w:hAnsi="Arial" w:cs="Arial"/>
          <w:color w:val="auto"/>
          <w:sz w:val="18"/>
          <w:szCs w:val="18"/>
          <w:vertAlign w:val="superscript"/>
        </w:rPr>
        <w:t>(</w:t>
      </w:r>
      <w:r w:rsidR="00112721">
        <w:rPr>
          <w:rFonts w:ascii="Arial" w:eastAsia="Times New Roman" w:hAnsi="Arial" w:cs="Arial"/>
          <w:color w:val="auto"/>
          <w:sz w:val="18"/>
          <w:szCs w:val="18"/>
          <w:vertAlign w:val="superscript"/>
        </w:rPr>
        <w:t>2</w:t>
      </w:r>
      <w:r w:rsidRPr="005C6398">
        <w:rPr>
          <w:rFonts w:ascii="Arial" w:eastAsia="Times New Roman" w:hAnsi="Arial" w:cs="Arial"/>
          <w:color w:val="auto"/>
          <w:sz w:val="18"/>
          <w:szCs w:val="18"/>
          <w:vertAlign w:val="superscript"/>
        </w:rPr>
        <w:t>)</w:t>
      </w:r>
      <w:r w:rsidRPr="005C6398">
        <w:rPr>
          <w:rFonts w:ascii="Arial" w:eastAsia="Times New Roman" w:hAnsi="Arial" w:cs="Arial"/>
          <w:color w:val="auto"/>
          <w:sz w:val="18"/>
          <w:szCs w:val="18"/>
        </w:rPr>
        <w:t xml:space="preserve"> El gasto primario neto es un indicador operativo que es el resultado de descontar al gasto financiado a nivel nacional (gasto neto devengado) los importes correspondientes a los intereses de la deuda y del desempleo cíclico. De esta forma este concepto de gasto refleja el nivel de erogaciones (desembolsos o salidas de dinero) sobre las que las Administraciones Públicas tienen un verdadero control. A modo de resumen, es el gasto controlado por las Administraciones Públicas</w:t>
      </w:r>
    </w:p>
    <w:p w:rsidR="00C967CC" w:rsidRDefault="00C967CC" w:rsidP="00C967CC">
      <w:pPr>
        <w:widowControl w:val="0"/>
        <w:spacing w:after="0" w:line="240" w:lineRule="auto"/>
        <w:ind w:left="644" w:right="113" w:firstLine="0"/>
        <w:rPr>
          <w:rFonts w:ascii="Arial" w:eastAsia="Times New Roman" w:hAnsi="Arial" w:cs="Arial"/>
          <w:color w:val="auto"/>
          <w:highlight w:val="lightGray"/>
        </w:rPr>
      </w:pPr>
    </w:p>
    <w:p w:rsidR="00C97566" w:rsidRDefault="00C97566" w:rsidP="00C967CC">
      <w:pPr>
        <w:widowControl w:val="0"/>
        <w:spacing w:after="0" w:line="240" w:lineRule="auto"/>
        <w:ind w:left="644" w:right="113" w:firstLine="0"/>
        <w:rPr>
          <w:rFonts w:ascii="Arial" w:eastAsia="Times New Roman" w:hAnsi="Arial" w:cs="Arial"/>
          <w:color w:val="auto"/>
          <w:highlight w:val="lightGray"/>
        </w:rPr>
      </w:pPr>
    </w:p>
    <w:p w:rsidR="00C97566" w:rsidRDefault="00C97566" w:rsidP="00C967CC">
      <w:pPr>
        <w:widowControl w:val="0"/>
        <w:spacing w:after="0" w:line="240" w:lineRule="auto"/>
        <w:ind w:left="644" w:right="113" w:firstLine="0"/>
        <w:rPr>
          <w:rFonts w:ascii="Arial" w:eastAsia="Times New Roman" w:hAnsi="Arial" w:cs="Arial"/>
          <w:color w:val="auto"/>
          <w:highlight w:val="lightGray"/>
        </w:rPr>
      </w:pPr>
    </w:p>
    <w:p w:rsidR="00C97566" w:rsidRDefault="00C97566" w:rsidP="00C967CC">
      <w:pPr>
        <w:widowControl w:val="0"/>
        <w:spacing w:after="0" w:line="240" w:lineRule="auto"/>
        <w:ind w:left="644" w:right="113" w:firstLine="0"/>
        <w:rPr>
          <w:rFonts w:ascii="Arial" w:eastAsia="Times New Roman" w:hAnsi="Arial" w:cs="Arial"/>
          <w:color w:val="auto"/>
          <w:highlight w:val="lightGray"/>
        </w:rPr>
      </w:pPr>
    </w:p>
    <w:p w:rsidR="00C97566" w:rsidRPr="00C967CC" w:rsidRDefault="00C97566" w:rsidP="00C967CC">
      <w:pPr>
        <w:widowControl w:val="0"/>
        <w:spacing w:after="0" w:line="240" w:lineRule="auto"/>
        <w:ind w:left="644" w:right="113" w:firstLine="0"/>
        <w:rPr>
          <w:rFonts w:ascii="Arial" w:eastAsia="Times New Roman" w:hAnsi="Arial" w:cs="Arial"/>
          <w:color w:val="auto"/>
          <w:highlight w:val="lightGray"/>
        </w:rPr>
      </w:pPr>
      <w:bookmarkStart w:id="0" w:name="_GoBack"/>
      <w:bookmarkEnd w:id="0"/>
    </w:p>
    <w:p w:rsidR="00C967CC" w:rsidRPr="00C967CC" w:rsidRDefault="00C967CC" w:rsidP="00C967CC">
      <w:pPr>
        <w:spacing w:after="0" w:line="240" w:lineRule="auto"/>
        <w:ind w:left="720" w:right="0" w:firstLine="0"/>
        <w:contextualSpacing/>
        <w:rPr>
          <w:rFonts w:ascii="Arial" w:eastAsia="Times New Roman" w:hAnsi="Arial" w:cs="Arial"/>
          <w:color w:val="auto"/>
          <w:highlight w:val="lightGray"/>
        </w:rPr>
      </w:pPr>
    </w:p>
    <w:p w:rsidR="00C967CC" w:rsidRPr="00C967CC" w:rsidRDefault="00C967CC" w:rsidP="00C967CC">
      <w:pPr>
        <w:spacing w:after="0" w:line="240" w:lineRule="auto"/>
        <w:ind w:left="0" w:right="0" w:firstLine="0"/>
        <w:jc w:val="left"/>
        <w:rPr>
          <w:rFonts w:ascii="Georgia" w:eastAsia="Times New Roman" w:hAnsi="Georgia" w:cs="Times New Roman"/>
          <w:color w:val="auto"/>
          <w:sz w:val="20"/>
          <w:szCs w:val="20"/>
        </w:rPr>
      </w:pP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74"/>
      </w:tblGrid>
      <w:tr w:rsidR="006D4E00" w:rsidTr="001B10EF">
        <w:tc>
          <w:tcPr>
            <w:tcW w:w="9174" w:type="dxa"/>
            <w:shd w:val="clear" w:color="auto" w:fill="D9D9D9" w:themeFill="background1" w:themeFillShade="D9"/>
          </w:tcPr>
          <w:p w:rsidR="006D4E00" w:rsidRDefault="006D4E00" w:rsidP="00D577C4">
            <w:pPr>
              <w:spacing w:before="120" w:after="120" w:line="250" w:lineRule="auto"/>
              <w:ind w:left="652" w:right="249" w:hanging="11"/>
              <w:jc w:val="center"/>
            </w:pPr>
            <w:r>
              <w:rPr>
                <w:rFonts w:ascii="Arial" w:hAnsi="Arial" w:cs="Arial"/>
                <w:b/>
              </w:rPr>
              <w:lastRenderedPageBreak/>
              <w:t xml:space="preserve">BLOQUE 3. </w:t>
            </w:r>
            <w:r w:rsidR="00223B08" w:rsidRPr="00223B08">
              <w:rPr>
                <w:rFonts w:ascii="Arial" w:eastAsia="Times New Roman" w:hAnsi="Arial" w:cs="Arial"/>
                <w:b/>
                <w:color w:val="auto"/>
              </w:rPr>
              <w:t xml:space="preserve">RETRIBUCIONES DE LOS EMPLEADOS PÚBLICOS EN LA CONFECCIÓN DEL PRESUPUESTO </w:t>
            </w:r>
            <w:r w:rsidR="00D577C4">
              <w:rPr>
                <w:rFonts w:ascii="Arial" w:eastAsia="Times New Roman" w:hAnsi="Arial" w:cs="Arial"/>
                <w:b/>
                <w:color w:val="auto"/>
              </w:rPr>
              <w:t>MUNICIPAL</w:t>
            </w:r>
            <w:r w:rsidR="00223B08" w:rsidRPr="00223B08">
              <w:rPr>
                <w:rFonts w:ascii="Arial" w:eastAsia="Times New Roman" w:hAnsi="Arial" w:cs="Arial"/>
                <w:b/>
                <w:color w:val="auto"/>
              </w:rPr>
              <w:t xml:space="preserve"> PARA 2024</w:t>
            </w:r>
          </w:p>
        </w:tc>
      </w:tr>
    </w:tbl>
    <w:p w:rsidR="00223B08" w:rsidRDefault="00223B08" w:rsidP="00223B08">
      <w:pPr>
        <w:widowControl w:val="0"/>
        <w:spacing w:after="0" w:line="240" w:lineRule="auto"/>
        <w:ind w:left="0" w:right="-30" w:firstLine="0"/>
        <w:rPr>
          <w:rFonts w:ascii="Arial" w:eastAsia="Times New Roman" w:hAnsi="Arial" w:cs="Arial"/>
          <w:color w:val="auto"/>
          <w:lang w:val="es-ES_tradnl"/>
        </w:rPr>
      </w:pPr>
    </w:p>
    <w:p w:rsidR="00223B08" w:rsidRPr="00223B08" w:rsidRDefault="002541DC" w:rsidP="002541DC">
      <w:pPr>
        <w:widowControl w:val="0"/>
        <w:spacing w:after="120" w:line="240" w:lineRule="auto"/>
        <w:ind w:left="0" w:right="-30" w:firstLine="0"/>
        <w:rPr>
          <w:rFonts w:ascii="Arial" w:eastAsia="Times New Roman" w:hAnsi="Arial" w:cs="Arial"/>
          <w:color w:val="auto"/>
        </w:rPr>
      </w:pPr>
      <w:r>
        <w:rPr>
          <w:rFonts w:ascii="Arial" w:eastAsia="Times New Roman" w:hAnsi="Arial" w:cs="Arial"/>
          <w:color w:val="auto"/>
          <w:lang w:val="es-ES_tradnl"/>
        </w:rPr>
        <w:tab/>
      </w:r>
      <w:r w:rsidR="00223B08" w:rsidRPr="00223B08">
        <w:rPr>
          <w:rFonts w:ascii="Arial" w:eastAsia="Times New Roman" w:hAnsi="Arial" w:cs="Arial"/>
          <w:color w:val="auto"/>
          <w:lang w:val="es-ES_tradnl"/>
        </w:rPr>
        <w:t xml:space="preserve">La cuantía de las </w:t>
      </w:r>
      <w:r w:rsidR="00223B08" w:rsidRPr="00223B08">
        <w:rPr>
          <w:rFonts w:ascii="Arial" w:eastAsia="Times New Roman" w:hAnsi="Arial" w:cs="Arial"/>
          <w:color w:val="auto"/>
        </w:rPr>
        <w:t>retribuciones del personal al servicio de las Entidades Locales, así como su incremento, se ajustarán a lo que determinen para cada ejercicio las Leyes de Presupuestos Generales del Estado, sin que puedan acordarse aumentos que supongan un incremento salarial superior a los límites fijados anualmente en las reseñadas normas (artículo 21 del texto refundido de la Ley del Estatuto Básico del Empleado Público, aprobado por RDL 5/2015, de 30 de octubre)</w:t>
      </w:r>
    </w:p>
    <w:p w:rsidR="00223B08" w:rsidRPr="00223B08" w:rsidRDefault="002541DC" w:rsidP="002541DC">
      <w:pPr>
        <w:widowControl w:val="0"/>
        <w:spacing w:after="120" w:line="240" w:lineRule="auto"/>
        <w:ind w:left="0" w:right="-30" w:firstLine="0"/>
        <w:rPr>
          <w:rFonts w:ascii="Arial" w:eastAsia="Times New Roman" w:hAnsi="Arial" w:cs="Arial"/>
          <w:color w:val="auto"/>
        </w:rPr>
      </w:pPr>
      <w:r w:rsidRPr="002541DC">
        <w:rPr>
          <w:rFonts w:ascii="Arial" w:eastAsia="Times New Roman" w:hAnsi="Arial" w:cs="Arial"/>
          <w:color w:val="auto"/>
        </w:rPr>
        <w:tab/>
      </w:r>
      <w:r w:rsidR="00223B08" w:rsidRPr="00223B08">
        <w:rPr>
          <w:rFonts w:ascii="Arial" w:eastAsia="Times New Roman" w:hAnsi="Arial" w:cs="Arial"/>
          <w:color w:val="auto"/>
        </w:rPr>
        <w:t>Como se ha indicado, a 1 de enero nos encontramos sin Presupuestos Generales del Estado para 2024, lo que conlleva la congelación automática a esta fecha de las retribuciones del personal público hasta la entrada en vigor de la nueva Ley de Presupuestos Generales del Estado de 2024 o de otra norma con rango de ley que en sustitución de la misma pueda recoger los incrementos salariales oportunos como sucedió, por ejemplo, en 2018.</w:t>
      </w:r>
    </w:p>
    <w:p w:rsidR="00223B08" w:rsidRPr="00223B08" w:rsidRDefault="002541DC" w:rsidP="002541DC">
      <w:pPr>
        <w:widowControl w:val="0"/>
        <w:spacing w:after="120" w:line="240" w:lineRule="auto"/>
        <w:ind w:left="0" w:right="-30" w:firstLine="0"/>
        <w:rPr>
          <w:rFonts w:ascii="Arial" w:eastAsia="Times New Roman" w:hAnsi="Arial" w:cs="Arial"/>
          <w:color w:val="auto"/>
        </w:rPr>
      </w:pPr>
      <w:r w:rsidRPr="002541DC">
        <w:rPr>
          <w:rFonts w:ascii="Arial" w:eastAsia="Times New Roman" w:hAnsi="Arial" w:cs="Arial"/>
          <w:color w:val="auto"/>
        </w:rPr>
        <w:tab/>
      </w:r>
      <w:r w:rsidR="00223B08" w:rsidRPr="00223B08">
        <w:rPr>
          <w:rFonts w:ascii="Arial" w:eastAsia="Times New Roman" w:hAnsi="Arial" w:cs="Arial"/>
          <w:color w:val="auto"/>
        </w:rPr>
        <w:t>No obstante, mediante Resolución de 14 de noviembre de 2022, de la Secretaría de Estado de Función Pública, se hizo público el Acuerdo Marco para una Administración del siglo XXI adoptado en la Mesa General de Negociación de la Función Pública el 7 de noviembre de 2022 que, entre otros extremos, recogía el incremento retributivo del personal al servicio de las Administraciones Públicas para el período 2022-2024. Concretamente para el año 2024 este Acuerdo contempla un incremento fijo del 2% sobre la base de las retribuciones actualizadas del anterior ejercicio 2023, además de un posible incremento retributivo adicional y consolidable del 0,5% con efectos desde el 1 de enero de 2024, si la suma de la variación del índice de Precios de Consumo Armonizado de los años 2022, 2023 y 2024 supera el incremento retributivo fijo acumulado de 2022, 2023 y 2024. Ahora bien, como se ha dicho para que estos incrementos sean efectivos en 2024 es preciso que se contemplen en la futura Ley de Presupuestos Generales del estado para 2024 o en otra norma con rango que Ley que lo explicite.</w:t>
      </w:r>
    </w:p>
    <w:p w:rsidR="00223B08" w:rsidRPr="00223B08" w:rsidRDefault="002541DC" w:rsidP="002541DC">
      <w:pPr>
        <w:widowControl w:val="0"/>
        <w:spacing w:after="120" w:line="240" w:lineRule="auto"/>
        <w:ind w:left="0" w:right="-30" w:firstLine="0"/>
        <w:rPr>
          <w:rFonts w:ascii="Arial" w:eastAsia="Times New Roman" w:hAnsi="Arial" w:cs="Arial"/>
          <w:color w:val="auto"/>
          <w:lang w:val="es-ES_tradnl"/>
        </w:rPr>
      </w:pPr>
      <w:r w:rsidRPr="002541DC">
        <w:rPr>
          <w:rFonts w:ascii="Arial" w:eastAsia="Times New Roman" w:hAnsi="Arial" w:cs="Arial"/>
          <w:color w:val="auto"/>
        </w:rPr>
        <w:tab/>
      </w:r>
      <w:r w:rsidR="00223B08" w:rsidRPr="00223B08">
        <w:rPr>
          <w:rFonts w:ascii="Arial" w:eastAsia="Times New Roman" w:hAnsi="Arial" w:cs="Arial"/>
          <w:color w:val="auto"/>
        </w:rPr>
        <w:t>Ante este escenario de ausencia de paraguas legal que habilite a actualizar las retribuciones de los empleados públicos locales con ocasión de la aprobación de sus presupuestos municipales</w:t>
      </w:r>
      <w:r w:rsidR="00223B08" w:rsidRPr="00223B08">
        <w:rPr>
          <w:rFonts w:ascii="Arial" w:eastAsia="Times New Roman" w:hAnsi="Arial" w:cs="Arial"/>
          <w:color w:val="auto"/>
          <w:lang w:val="es-ES_tradnl"/>
        </w:rPr>
        <w:t xml:space="preserve"> para 2024, caben estas posibles soluciones:</w:t>
      </w:r>
    </w:p>
    <w:p w:rsidR="00223B08" w:rsidRPr="00223B08" w:rsidRDefault="00223B08" w:rsidP="002541DC">
      <w:pPr>
        <w:widowControl w:val="0"/>
        <w:numPr>
          <w:ilvl w:val="0"/>
          <w:numId w:val="31"/>
        </w:numPr>
        <w:spacing w:after="120" w:line="240" w:lineRule="auto"/>
        <w:ind w:right="113"/>
        <w:rPr>
          <w:rFonts w:ascii="Arial" w:eastAsia="Times New Roman" w:hAnsi="Arial" w:cs="Arial"/>
          <w:color w:val="auto"/>
        </w:rPr>
      </w:pPr>
      <w:r w:rsidRPr="00223B08">
        <w:rPr>
          <w:rFonts w:ascii="Arial" w:eastAsia="Times New Roman" w:hAnsi="Arial" w:cs="Arial"/>
          <w:b/>
          <w:color w:val="auto"/>
        </w:rPr>
        <w:t>No realizar previsión presupuestaria alguna</w:t>
      </w:r>
      <w:r w:rsidRPr="00223B08">
        <w:rPr>
          <w:rFonts w:ascii="Arial" w:eastAsia="Times New Roman" w:hAnsi="Arial" w:cs="Arial"/>
          <w:color w:val="auto"/>
        </w:rPr>
        <w:t xml:space="preserve"> de forma que, cuando se establezcan por el legislador estatal los aumentos aplicables, deberá modificarse el presupuesto municipal de 2024 para materializar la incorporación al mismo de los oportunos créditos.</w:t>
      </w:r>
    </w:p>
    <w:p w:rsidR="00223B08" w:rsidRPr="00223B08" w:rsidRDefault="00223B08" w:rsidP="002541DC">
      <w:pPr>
        <w:widowControl w:val="0"/>
        <w:numPr>
          <w:ilvl w:val="0"/>
          <w:numId w:val="31"/>
        </w:numPr>
        <w:spacing w:after="120" w:line="240" w:lineRule="auto"/>
        <w:ind w:right="113"/>
        <w:rPr>
          <w:rFonts w:ascii="Arial" w:eastAsia="Times New Roman" w:hAnsi="Arial" w:cs="Arial"/>
          <w:color w:val="auto"/>
        </w:rPr>
      </w:pPr>
      <w:r w:rsidRPr="00223B08">
        <w:rPr>
          <w:rFonts w:ascii="Arial" w:eastAsia="Times New Roman" w:hAnsi="Arial" w:cs="Arial"/>
          <w:b/>
          <w:color w:val="auto"/>
        </w:rPr>
        <w:t>Consignar en el nuevo presupuesto crédito</w:t>
      </w:r>
      <w:r w:rsidRPr="00223B08">
        <w:rPr>
          <w:rFonts w:ascii="Arial" w:eastAsia="Times New Roman" w:hAnsi="Arial" w:cs="Arial"/>
          <w:color w:val="auto"/>
        </w:rPr>
        <w:t xml:space="preserve"> suficiente para hacer frente a los posibles incrementos de emolumentos previstos para 2024 en el Acuerdo Marco para una Administración del siglo XXI, </w:t>
      </w:r>
      <w:r w:rsidRPr="00223B08">
        <w:rPr>
          <w:rFonts w:ascii="Arial" w:eastAsia="Times New Roman" w:hAnsi="Arial" w:cs="Arial"/>
          <w:b/>
          <w:color w:val="auto"/>
        </w:rPr>
        <w:t>por una de estas vías</w:t>
      </w:r>
      <w:r w:rsidRPr="00223B08">
        <w:rPr>
          <w:rFonts w:ascii="Arial" w:eastAsia="Times New Roman" w:hAnsi="Arial" w:cs="Arial"/>
          <w:color w:val="auto"/>
        </w:rPr>
        <w:t>:</w:t>
      </w:r>
    </w:p>
    <w:p w:rsidR="00223B08" w:rsidRPr="00223B08" w:rsidRDefault="00223B08" w:rsidP="002541DC">
      <w:pPr>
        <w:widowControl w:val="0"/>
        <w:numPr>
          <w:ilvl w:val="0"/>
          <w:numId w:val="32"/>
        </w:numPr>
        <w:spacing w:after="120" w:line="240" w:lineRule="auto"/>
        <w:ind w:left="1378" w:right="113" w:hanging="357"/>
        <w:rPr>
          <w:rFonts w:ascii="Arial" w:eastAsia="Times New Roman" w:hAnsi="Arial" w:cs="Arial"/>
          <w:color w:val="auto"/>
        </w:rPr>
      </w:pPr>
      <w:r w:rsidRPr="00223B08">
        <w:rPr>
          <w:rFonts w:ascii="Arial" w:eastAsia="Times New Roman" w:hAnsi="Arial" w:cs="Arial"/>
          <w:b/>
          <w:color w:val="auto"/>
        </w:rPr>
        <w:t>Dotar el Capítulo 1 “Gastos de personal”</w:t>
      </w:r>
      <w:r w:rsidRPr="00223B08">
        <w:rPr>
          <w:rFonts w:ascii="Arial" w:eastAsia="Times New Roman" w:hAnsi="Arial" w:cs="Arial"/>
          <w:color w:val="auto"/>
        </w:rPr>
        <w:t xml:space="preserve"> y adoptar un acuerdo plenario de no disponibilidad de este crédito en el momento en que el presupuesto entre en vigor, que deberá levantarse con otro acuerdo en sentido contrario cuando la nueva Ley de Presupuestos Generales del Estado autorice la actualización de las retribuciones.</w:t>
      </w:r>
    </w:p>
    <w:p w:rsidR="00223B08" w:rsidRPr="00223B08" w:rsidRDefault="00223B08" w:rsidP="002541DC">
      <w:pPr>
        <w:numPr>
          <w:ilvl w:val="0"/>
          <w:numId w:val="32"/>
        </w:numPr>
        <w:spacing w:after="120" w:line="240" w:lineRule="auto"/>
        <w:ind w:left="1378" w:right="0" w:hanging="357"/>
        <w:rPr>
          <w:rFonts w:ascii="Arial" w:eastAsia="Times New Roman" w:hAnsi="Arial" w:cs="Arial"/>
          <w:b/>
          <w:color w:val="auto"/>
        </w:rPr>
      </w:pPr>
      <w:r w:rsidRPr="00223B08">
        <w:rPr>
          <w:rFonts w:ascii="Arial" w:eastAsia="Times New Roman" w:hAnsi="Arial" w:cs="Arial"/>
          <w:b/>
          <w:color w:val="auto"/>
        </w:rPr>
        <w:t>Dotar crédito en el Capítulo 5</w:t>
      </w:r>
      <w:r w:rsidRPr="00223B08">
        <w:rPr>
          <w:rFonts w:ascii="Arial" w:eastAsia="Times New Roman" w:hAnsi="Arial" w:cs="Arial"/>
          <w:color w:val="auto"/>
        </w:rPr>
        <w:t xml:space="preserve"> del presupuesto de gastos </w:t>
      </w:r>
      <w:r w:rsidRPr="00223B08">
        <w:rPr>
          <w:rFonts w:ascii="Arial" w:eastAsia="Times New Roman" w:hAnsi="Arial" w:cs="Arial"/>
          <w:b/>
          <w:color w:val="auto"/>
        </w:rPr>
        <w:t>“Fondo de Contingencia”</w:t>
      </w:r>
      <w:r w:rsidRPr="00223B08">
        <w:rPr>
          <w:rFonts w:ascii="Arial" w:eastAsia="Times New Roman" w:hAnsi="Arial" w:cs="Arial"/>
          <w:color w:val="auto"/>
        </w:rPr>
        <w:t xml:space="preserve"> para financiar futuras modificaciones presupuestarias en el Capítulo 1 por incrementos retributivos y, en el caso de no acordarse ningún aumento salarial para los empleados públicos, igualmente deberá adoptarse un acuerdo de no disponibilidad de este crédito.</w:t>
      </w:r>
    </w:p>
    <w:p w:rsidR="0062194E" w:rsidRPr="002541DC" w:rsidRDefault="0062194E" w:rsidP="002541DC">
      <w:pPr>
        <w:spacing w:after="0" w:line="240" w:lineRule="auto"/>
        <w:ind w:left="360" w:right="0" w:firstLine="0"/>
        <w:jc w:val="left"/>
      </w:pPr>
    </w:p>
    <w:p w:rsidR="00223B08" w:rsidRDefault="009D6E73">
      <w:pPr>
        <w:spacing w:after="89" w:line="259" w:lineRule="auto"/>
        <w:ind w:left="643" w:right="0" w:firstLine="0"/>
        <w:jc w:val="left"/>
      </w:pPr>
      <w:r>
        <w:t xml:space="preserve"> </w:t>
      </w: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74"/>
      </w:tblGrid>
      <w:tr w:rsidR="00297D97" w:rsidTr="001B10EF">
        <w:tc>
          <w:tcPr>
            <w:tcW w:w="9174" w:type="dxa"/>
            <w:shd w:val="clear" w:color="auto" w:fill="D9D9D9" w:themeFill="background1" w:themeFillShade="D9"/>
          </w:tcPr>
          <w:p w:rsidR="00297D97" w:rsidRDefault="00297D97" w:rsidP="00FE1565">
            <w:pPr>
              <w:spacing w:before="120" w:after="120" w:line="259" w:lineRule="auto"/>
              <w:ind w:left="284" w:right="284" w:firstLine="0"/>
              <w:jc w:val="center"/>
            </w:pPr>
            <w:r>
              <w:rPr>
                <w:rFonts w:ascii="Arial" w:hAnsi="Arial" w:cs="Arial"/>
                <w:b/>
              </w:rPr>
              <w:lastRenderedPageBreak/>
              <w:t xml:space="preserve">BLOQUE </w:t>
            </w:r>
            <w:r w:rsidR="00FE1565">
              <w:rPr>
                <w:rFonts w:ascii="Arial" w:hAnsi="Arial" w:cs="Arial"/>
                <w:b/>
              </w:rPr>
              <w:t>4</w:t>
            </w:r>
            <w:r>
              <w:rPr>
                <w:rFonts w:ascii="Arial" w:hAnsi="Arial" w:cs="Arial"/>
                <w:b/>
              </w:rPr>
              <w:t>. RENDICIÓN DE LA CUENTA GEN</w:t>
            </w:r>
            <w:r w:rsidR="003A36BA">
              <w:rPr>
                <w:rFonts w:ascii="Arial" w:hAnsi="Arial" w:cs="Arial"/>
                <w:b/>
              </w:rPr>
              <w:t>E</w:t>
            </w:r>
            <w:r>
              <w:rPr>
                <w:rFonts w:ascii="Arial" w:hAnsi="Arial" w:cs="Arial"/>
                <w:b/>
              </w:rPr>
              <w:t>RAL Y REMISIÓN DE INFORMACIÓN AL</w:t>
            </w:r>
            <w:r w:rsidR="004C13E6">
              <w:rPr>
                <w:rFonts w:ascii="Arial" w:hAnsi="Arial" w:cs="Arial"/>
                <w:b/>
              </w:rPr>
              <w:t xml:space="preserve"> </w:t>
            </w:r>
            <w:r>
              <w:rPr>
                <w:rFonts w:ascii="Arial" w:hAnsi="Arial" w:cs="Arial"/>
                <w:b/>
              </w:rPr>
              <w:t>CONSEJO DE CUENTAS</w:t>
            </w:r>
          </w:p>
        </w:tc>
      </w:tr>
    </w:tbl>
    <w:p w:rsidR="00297D97" w:rsidRDefault="00297D97" w:rsidP="00297D97">
      <w:pPr>
        <w:spacing w:after="0" w:line="259" w:lineRule="auto"/>
        <w:ind w:left="360" w:right="0" w:firstLine="0"/>
        <w:jc w:val="left"/>
      </w:pPr>
    </w:p>
    <w:p w:rsidR="00295FCC" w:rsidRPr="007D5A2B" w:rsidRDefault="00297D97" w:rsidP="007D5A2B">
      <w:pPr>
        <w:spacing w:after="120" w:line="250" w:lineRule="auto"/>
        <w:ind w:left="11" w:right="0" w:firstLine="556"/>
        <w:rPr>
          <w:rFonts w:ascii="Arial" w:hAnsi="Arial" w:cs="Arial"/>
        </w:rPr>
      </w:pPr>
      <w:r>
        <w:t xml:space="preserve"> </w:t>
      </w:r>
      <w:r w:rsidR="009D6E73" w:rsidRPr="007D5A2B">
        <w:rPr>
          <w:rFonts w:ascii="Arial" w:hAnsi="Arial" w:cs="Arial"/>
          <w:b/>
        </w:rPr>
        <w:t>Las Entidades locales están obligadas a rendir</w:t>
      </w:r>
      <w:r w:rsidR="009D6E73" w:rsidRPr="007D5A2B">
        <w:rPr>
          <w:rFonts w:ascii="Arial" w:hAnsi="Arial" w:cs="Arial"/>
        </w:rPr>
        <w:t xml:space="preserve"> la cuenta general y remitir información de contratos, convenios y reparos al Consejo de Cuentas de Castilla y León, sin perjuicio de cualquier otra información que requiera el Consejo de Cuentas. </w:t>
      </w:r>
    </w:p>
    <w:p w:rsidR="00295FCC" w:rsidRDefault="009D6E73" w:rsidP="007D5A2B">
      <w:pPr>
        <w:spacing w:after="360" w:line="250" w:lineRule="auto"/>
        <w:ind w:left="11" w:right="0" w:firstLine="556"/>
        <w:rPr>
          <w:rFonts w:ascii="Arial" w:hAnsi="Arial" w:cs="Arial"/>
        </w:rPr>
      </w:pPr>
      <w:r w:rsidRPr="007D5A2B">
        <w:rPr>
          <w:rFonts w:ascii="Arial" w:hAnsi="Arial" w:cs="Arial"/>
        </w:rPr>
        <w:t xml:space="preserve"> </w:t>
      </w:r>
      <w:r w:rsidR="00807911" w:rsidRPr="007D5A2B">
        <w:rPr>
          <w:rFonts w:ascii="Arial" w:hAnsi="Arial" w:cs="Arial"/>
        </w:rPr>
        <w:t xml:space="preserve">Este envío </w:t>
      </w:r>
      <w:r w:rsidR="00807911" w:rsidRPr="007D5A2B">
        <w:rPr>
          <w:rFonts w:ascii="Arial" w:hAnsi="Arial" w:cs="Arial"/>
          <w:b/>
        </w:rPr>
        <w:t>debe realizarse tel</w:t>
      </w:r>
      <w:r w:rsidR="007D5A2B" w:rsidRPr="007D5A2B">
        <w:rPr>
          <w:rFonts w:ascii="Arial" w:hAnsi="Arial" w:cs="Arial"/>
          <w:b/>
        </w:rPr>
        <w:t>e</w:t>
      </w:r>
      <w:r w:rsidR="00807911" w:rsidRPr="007D5A2B">
        <w:rPr>
          <w:rFonts w:ascii="Arial" w:hAnsi="Arial" w:cs="Arial"/>
          <w:b/>
        </w:rPr>
        <w:t>máticamente</w:t>
      </w:r>
      <w:r w:rsidRPr="007D5A2B">
        <w:rPr>
          <w:rFonts w:ascii="Arial" w:hAnsi="Arial" w:cs="Arial"/>
        </w:rPr>
        <w:t xml:space="preserve"> a través de la Plataforma de Rendición de Cuentas de las Entidades Locales. </w:t>
      </w:r>
    </w:p>
    <w:p w:rsidR="00DB6358" w:rsidRPr="00DB6358" w:rsidRDefault="00DB6358" w:rsidP="00716B2D">
      <w:pPr>
        <w:pStyle w:val="Prrafodelista"/>
        <w:numPr>
          <w:ilvl w:val="0"/>
          <w:numId w:val="20"/>
        </w:numPr>
        <w:spacing w:after="120" w:line="250" w:lineRule="auto"/>
        <w:ind w:left="584" w:right="0" w:hanging="357"/>
        <w:contextualSpacing w:val="0"/>
        <w:rPr>
          <w:rFonts w:ascii="Arial" w:hAnsi="Arial" w:cs="Arial"/>
        </w:rPr>
      </w:pPr>
      <w:r>
        <w:rPr>
          <w:rFonts w:ascii="Arial" w:hAnsi="Arial" w:cs="Arial"/>
          <w:b/>
        </w:rPr>
        <w:t>RENDICIÓN DE LA CUENTA GENERAL</w:t>
      </w:r>
    </w:p>
    <w:p w:rsidR="00295FCC" w:rsidRPr="005717F0" w:rsidRDefault="009D6E73" w:rsidP="005717F0">
      <w:pPr>
        <w:spacing w:after="120" w:line="250" w:lineRule="auto"/>
        <w:ind w:left="11" w:right="0" w:firstLine="556"/>
        <w:rPr>
          <w:rFonts w:ascii="Arial" w:hAnsi="Arial" w:cs="Arial"/>
        </w:rPr>
      </w:pPr>
      <w:r w:rsidRPr="005717F0">
        <w:rPr>
          <w:rFonts w:ascii="Arial" w:hAnsi="Arial" w:cs="Arial"/>
          <w:b/>
        </w:rPr>
        <w:t>Plazo máximo</w:t>
      </w:r>
      <w:r w:rsidRPr="005717F0">
        <w:rPr>
          <w:rFonts w:ascii="Arial" w:hAnsi="Arial" w:cs="Arial"/>
        </w:rPr>
        <w:t xml:space="preserve"> hasta el </w:t>
      </w:r>
      <w:r w:rsidRPr="005717F0">
        <w:rPr>
          <w:rFonts w:ascii="Arial" w:hAnsi="Arial" w:cs="Arial"/>
          <w:b/>
        </w:rPr>
        <w:t>31 de octubre del año siguiente</w:t>
      </w:r>
      <w:r w:rsidRPr="005717F0">
        <w:rPr>
          <w:rFonts w:ascii="Arial" w:hAnsi="Arial" w:cs="Arial"/>
        </w:rPr>
        <w:t xml:space="preserve"> al del ejercicio económico al que corresponda. </w:t>
      </w:r>
    </w:p>
    <w:p w:rsidR="00295FCC" w:rsidRPr="005717F0" w:rsidRDefault="009D6E73" w:rsidP="005717F0">
      <w:pPr>
        <w:spacing w:after="120" w:line="250" w:lineRule="auto"/>
        <w:ind w:left="11" w:right="0" w:firstLine="556"/>
        <w:rPr>
          <w:rFonts w:ascii="Arial" w:hAnsi="Arial" w:cs="Arial"/>
        </w:rPr>
      </w:pPr>
      <w:r w:rsidRPr="005717F0">
        <w:rPr>
          <w:rFonts w:ascii="Arial" w:hAnsi="Arial" w:cs="Arial"/>
        </w:rPr>
        <w:t xml:space="preserve"> </w:t>
      </w:r>
      <w:r w:rsidR="005717F0">
        <w:rPr>
          <w:rFonts w:ascii="Arial" w:hAnsi="Arial" w:cs="Arial"/>
        </w:rPr>
        <w:t xml:space="preserve">Mediante </w:t>
      </w:r>
      <w:r w:rsidRPr="005717F0">
        <w:rPr>
          <w:rFonts w:ascii="Arial" w:hAnsi="Arial" w:cs="Arial"/>
        </w:rPr>
        <w:t xml:space="preserve">Resolución de 2 de diciembre de 2015, de la Presidencia del Tribunal de Cuentas, por la que se publica el Acuerdo del Pleno de 26 de noviembre de 2015, se aprueba la Instrucción que regula la rendición telemática de la Cuenta General de las Entidades Locales y el formato de dicha Cuenta, a partir de la correspondiente al ejercicio 2015 </w:t>
      </w:r>
    </w:p>
    <w:p w:rsidR="00295FCC" w:rsidRPr="005717F0" w:rsidRDefault="009D6E73" w:rsidP="005717F0">
      <w:pPr>
        <w:spacing w:after="120" w:line="250" w:lineRule="auto"/>
        <w:ind w:left="11" w:right="0" w:firstLine="556"/>
        <w:rPr>
          <w:rFonts w:ascii="Arial" w:hAnsi="Arial" w:cs="Arial"/>
        </w:rPr>
      </w:pPr>
      <w:r w:rsidRPr="005717F0">
        <w:rPr>
          <w:rFonts w:ascii="Arial" w:hAnsi="Arial" w:cs="Arial"/>
        </w:rPr>
        <w:t xml:space="preserve">  Dicha Instrucción ha sido modificada por Resolución del Tribunal de Cuentas de 15 de enero de 2020. (B.O.E. 17-01-2020). </w:t>
      </w:r>
    </w:p>
    <w:p w:rsidR="00295FCC" w:rsidRDefault="009D6E73" w:rsidP="00835B60">
      <w:pPr>
        <w:spacing w:after="120" w:line="250" w:lineRule="auto"/>
        <w:ind w:left="11" w:right="0" w:firstLine="556"/>
      </w:pPr>
      <w:r w:rsidRPr="005717F0">
        <w:rPr>
          <w:rFonts w:ascii="Arial" w:hAnsi="Arial" w:cs="Arial"/>
        </w:rPr>
        <w:t xml:space="preserve"> Esta modificación viene motivada por la entrada en vigor del Real Decreto 424/2017, y su artículo 29.3.A), que introdujo, como novedad, la obligación de que el órgano interventor realice anualmente la auditoría de las cuentas anuales de: </w:t>
      </w:r>
      <w:r>
        <w:t xml:space="preserve"> </w:t>
      </w:r>
    </w:p>
    <w:p w:rsidR="00295FCC" w:rsidRPr="00835B60" w:rsidRDefault="009D6E73">
      <w:pPr>
        <w:numPr>
          <w:ilvl w:val="0"/>
          <w:numId w:val="4"/>
        </w:numPr>
        <w:ind w:right="0" w:hanging="360"/>
        <w:rPr>
          <w:rFonts w:ascii="Arial" w:hAnsi="Arial" w:cs="Arial"/>
        </w:rPr>
      </w:pPr>
      <w:r w:rsidRPr="00835B60">
        <w:rPr>
          <w:rFonts w:ascii="Arial" w:hAnsi="Arial" w:cs="Arial"/>
        </w:rPr>
        <w:t xml:space="preserve">Los organismos autónomos locales. </w:t>
      </w:r>
    </w:p>
    <w:p w:rsidR="00295FCC" w:rsidRPr="00835B60" w:rsidRDefault="009D6E73">
      <w:pPr>
        <w:numPr>
          <w:ilvl w:val="0"/>
          <w:numId w:val="4"/>
        </w:numPr>
        <w:ind w:right="0" w:hanging="360"/>
        <w:rPr>
          <w:rFonts w:ascii="Arial" w:hAnsi="Arial" w:cs="Arial"/>
        </w:rPr>
      </w:pPr>
      <w:r w:rsidRPr="00835B60">
        <w:rPr>
          <w:rFonts w:ascii="Arial" w:hAnsi="Arial" w:cs="Arial"/>
        </w:rPr>
        <w:t xml:space="preserve">Las entidades públicas empresariales locales. </w:t>
      </w:r>
    </w:p>
    <w:p w:rsidR="00295FCC" w:rsidRPr="00835B60" w:rsidRDefault="009D6E73">
      <w:pPr>
        <w:numPr>
          <w:ilvl w:val="0"/>
          <w:numId w:val="4"/>
        </w:numPr>
        <w:ind w:right="0" w:hanging="360"/>
        <w:rPr>
          <w:rFonts w:ascii="Arial" w:hAnsi="Arial" w:cs="Arial"/>
        </w:rPr>
      </w:pPr>
      <w:r w:rsidRPr="00835B60">
        <w:rPr>
          <w:rFonts w:ascii="Arial" w:hAnsi="Arial" w:cs="Arial"/>
        </w:rPr>
        <w:t xml:space="preserve">Las fundaciones del Sector Público Local obligadas a auditarse. </w:t>
      </w:r>
    </w:p>
    <w:p w:rsidR="00295FCC" w:rsidRPr="00835B60" w:rsidRDefault="009D6E73">
      <w:pPr>
        <w:numPr>
          <w:ilvl w:val="0"/>
          <w:numId w:val="4"/>
        </w:numPr>
        <w:ind w:right="0" w:hanging="360"/>
        <w:rPr>
          <w:rFonts w:ascii="Arial" w:hAnsi="Arial" w:cs="Arial"/>
        </w:rPr>
      </w:pPr>
      <w:r w:rsidRPr="00835B60">
        <w:rPr>
          <w:rFonts w:ascii="Arial" w:hAnsi="Arial" w:cs="Arial"/>
        </w:rPr>
        <w:t xml:space="preserve">Los fondos y los consorcios del art. 2.2 del Reglamento. </w:t>
      </w:r>
    </w:p>
    <w:p w:rsidR="00295FCC" w:rsidRPr="00835B60" w:rsidRDefault="009D6E73" w:rsidP="00835B60">
      <w:pPr>
        <w:numPr>
          <w:ilvl w:val="0"/>
          <w:numId w:val="4"/>
        </w:numPr>
        <w:spacing w:after="120" w:line="250" w:lineRule="auto"/>
        <w:ind w:left="1066" w:right="0" w:hanging="357"/>
        <w:rPr>
          <w:rFonts w:ascii="Arial" w:hAnsi="Arial" w:cs="Arial"/>
        </w:rPr>
      </w:pPr>
      <w:r w:rsidRPr="00835B60">
        <w:rPr>
          <w:rFonts w:ascii="Arial" w:hAnsi="Arial" w:cs="Arial"/>
        </w:rPr>
        <w:t>Las sociedades mercantiles y las fundaciones del Sector Público Local no sometidas a la obligación de auditarse que se hubieran inclu</w:t>
      </w:r>
      <w:r w:rsidR="00835B60">
        <w:rPr>
          <w:rFonts w:ascii="Arial" w:hAnsi="Arial" w:cs="Arial"/>
        </w:rPr>
        <w:t>i</w:t>
      </w:r>
      <w:r w:rsidRPr="00835B60">
        <w:rPr>
          <w:rFonts w:ascii="Arial" w:hAnsi="Arial" w:cs="Arial"/>
        </w:rPr>
        <w:t xml:space="preserve">do en el plan anual de auditorías.  </w:t>
      </w:r>
    </w:p>
    <w:p w:rsidR="00295FCC" w:rsidRDefault="009D6E73" w:rsidP="00835B60">
      <w:pPr>
        <w:spacing w:after="120" w:line="250" w:lineRule="auto"/>
        <w:ind w:left="11" w:right="0" w:firstLine="556"/>
        <w:rPr>
          <w:rFonts w:ascii="Arial" w:hAnsi="Arial" w:cs="Arial"/>
        </w:rPr>
      </w:pPr>
      <w:r w:rsidRPr="00835B60">
        <w:rPr>
          <w:rFonts w:ascii="Arial" w:hAnsi="Arial" w:cs="Arial"/>
        </w:rPr>
        <w:t xml:space="preserve">La disposición transitoria única del Real Decreto indica que las auditorías de cuentas previstas en el art. 29.3.A) se realizarán sobre las cuentas anuales cuyo ejercicio contable se cierre a partir de 1 de enero de 2019. </w:t>
      </w:r>
    </w:p>
    <w:p w:rsidR="000D7FBF" w:rsidRPr="00835B60" w:rsidRDefault="000D7FBF" w:rsidP="00DB6358">
      <w:pPr>
        <w:spacing w:after="360" w:line="250" w:lineRule="auto"/>
        <w:ind w:left="11" w:right="0" w:firstLine="556"/>
        <w:rPr>
          <w:rFonts w:ascii="Arial" w:hAnsi="Arial" w:cs="Arial"/>
        </w:rPr>
      </w:pPr>
      <w:r>
        <w:rPr>
          <w:rFonts w:ascii="Arial" w:hAnsi="Arial" w:cs="Arial"/>
        </w:rPr>
        <w:t>Esta normativa se completa con la Resolución de 6 de mayo de 2022 del Presidente del Co</w:t>
      </w:r>
      <w:r w:rsidR="00DC04AE">
        <w:rPr>
          <w:rFonts w:ascii="Arial" w:hAnsi="Arial" w:cs="Arial"/>
        </w:rPr>
        <w:t>nsejo de Cuentas de Castilla y L</w:t>
      </w:r>
      <w:r>
        <w:rPr>
          <w:rFonts w:ascii="Arial" w:hAnsi="Arial" w:cs="Arial"/>
        </w:rPr>
        <w:t>e</w:t>
      </w:r>
      <w:r w:rsidR="00725C63">
        <w:rPr>
          <w:rFonts w:ascii="Arial" w:hAnsi="Arial" w:cs="Arial"/>
        </w:rPr>
        <w:t>ón, por la que se hace pú</w:t>
      </w:r>
      <w:r>
        <w:rPr>
          <w:rFonts w:ascii="Arial" w:hAnsi="Arial" w:cs="Arial"/>
        </w:rPr>
        <w:t>blico el Acuerdo 41/2022 del Pleno por el que se regula la rendición telemática de la Cuenta General de las entidades locales y el formato de dicha cuenta a, a partir de la correspondiente al ejercicio de 2015.</w:t>
      </w:r>
    </w:p>
    <w:p w:rsidR="00716B2D" w:rsidRPr="00116838" w:rsidRDefault="009D6E73" w:rsidP="00116838">
      <w:pPr>
        <w:pStyle w:val="Prrafodelista"/>
        <w:numPr>
          <w:ilvl w:val="0"/>
          <w:numId w:val="20"/>
        </w:numPr>
        <w:spacing w:after="120" w:line="250" w:lineRule="auto"/>
        <w:ind w:left="584" w:right="0" w:hanging="357"/>
        <w:contextualSpacing w:val="0"/>
        <w:rPr>
          <w:rFonts w:ascii="Arial" w:hAnsi="Arial" w:cs="Arial"/>
          <w:b/>
        </w:rPr>
      </w:pPr>
      <w:r w:rsidRPr="00116838">
        <w:rPr>
          <w:rFonts w:ascii="Arial" w:hAnsi="Arial" w:cs="Arial"/>
          <w:b/>
        </w:rPr>
        <w:t xml:space="preserve"> </w:t>
      </w:r>
      <w:r w:rsidR="003A20B2">
        <w:rPr>
          <w:rFonts w:ascii="Arial" w:hAnsi="Arial" w:cs="Arial"/>
          <w:b/>
        </w:rPr>
        <w:t>CONTRATOS</w:t>
      </w:r>
    </w:p>
    <w:p w:rsidR="00116838" w:rsidRDefault="009D6E73" w:rsidP="00116838">
      <w:pPr>
        <w:spacing w:after="120" w:line="250" w:lineRule="auto"/>
        <w:ind w:left="11" w:right="0" w:firstLine="556"/>
        <w:rPr>
          <w:rFonts w:ascii="Arial" w:hAnsi="Arial" w:cs="Arial"/>
        </w:rPr>
      </w:pPr>
      <w:r w:rsidRPr="00116838">
        <w:rPr>
          <w:rFonts w:ascii="Arial" w:hAnsi="Arial" w:cs="Arial"/>
          <w:b/>
        </w:rPr>
        <w:t>La Ley 9/2017, de 8 de noviembre, de Contratos de Sector Publico</w:t>
      </w:r>
      <w:r w:rsidRPr="00116838">
        <w:rPr>
          <w:rFonts w:ascii="Arial" w:hAnsi="Arial" w:cs="Arial"/>
        </w:rPr>
        <w:t xml:space="preserve"> (entrada en vigor el 9 marzo 2018) regula en el art. 335</w:t>
      </w:r>
      <w:r w:rsidR="00116838" w:rsidRPr="00116838">
        <w:rPr>
          <w:rFonts w:ascii="Arial" w:hAnsi="Arial" w:cs="Arial"/>
        </w:rPr>
        <w:t xml:space="preserve"> la </w:t>
      </w:r>
      <w:r w:rsidRPr="00116838">
        <w:rPr>
          <w:rFonts w:ascii="Arial" w:hAnsi="Arial" w:cs="Arial"/>
        </w:rPr>
        <w:t xml:space="preserve">remisión de contratos al Tribunal de Cuentas: </w:t>
      </w:r>
    </w:p>
    <w:p w:rsidR="006617E3" w:rsidRDefault="009D6E73" w:rsidP="00116838">
      <w:pPr>
        <w:spacing w:after="120" w:line="250" w:lineRule="auto"/>
        <w:ind w:left="11" w:right="0" w:firstLine="556"/>
        <w:rPr>
          <w:rFonts w:ascii="Arial" w:hAnsi="Arial" w:cs="Arial"/>
          <w:i/>
        </w:rPr>
      </w:pPr>
      <w:r w:rsidRPr="00396916">
        <w:rPr>
          <w:rFonts w:ascii="Arial" w:hAnsi="Arial" w:cs="Arial"/>
          <w:i/>
        </w:rPr>
        <w:t xml:space="preserve"> "1. Dentro de los tres meses siguientes a la formalización del contrato, para el ejercicio de la función fiscalizadora, deberá remitirse al Tribunal de Cuentas u órgano externo de fiscalización de la Comunidad Autónoma una copia certificada del documento en el que se hubiere formalizado aquel, acompañada de un extracto del expediente del que se derive, siempre que el </w:t>
      </w:r>
      <w:proofErr w:type="gramStart"/>
      <w:r w:rsidRPr="00396916">
        <w:rPr>
          <w:rFonts w:ascii="Arial" w:hAnsi="Arial" w:cs="Arial"/>
          <w:i/>
        </w:rPr>
        <w:t>precio</w:t>
      </w:r>
      <w:r w:rsidR="006617E3">
        <w:rPr>
          <w:rFonts w:ascii="Arial" w:hAnsi="Arial" w:cs="Arial"/>
          <w:i/>
        </w:rPr>
        <w:t xml:space="preserve"> </w:t>
      </w:r>
      <w:r w:rsidRPr="00396916">
        <w:rPr>
          <w:rFonts w:ascii="Arial" w:hAnsi="Arial" w:cs="Arial"/>
          <w:i/>
        </w:rPr>
        <w:t xml:space="preserve"> de</w:t>
      </w:r>
      <w:proofErr w:type="gramEnd"/>
      <w:r w:rsidR="006617E3">
        <w:rPr>
          <w:rFonts w:ascii="Arial" w:hAnsi="Arial" w:cs="Arial"/>
          <w:i/>
        </w:rPr>
        <w:t xml:space="preserve"> </w:t>
      </w:r>
      <w:r w:rsidRPr="00396916">
        <w:rPr>
          <w:rFonts w:ascii="Arial" w:hAnsi="Arial" w:cs="Arial"/>
          <w:i/>
        </w:rPr>
        <w:t xml:space="preserve"> adjudicación del </w:t>
      </w:r>
      <w:r w:rsidR="006617E3">
        <w:rPr>
          <w:rFonts w:ascii="Arial" w:hAnsi="Arial" w:cs="Arial"/>
          <w:i/>
        </w:rPr>
        <w:t xml:space="preserve"> </w:t>
      </w:r>
      <w:r w:rsidRPr="00396916">
        <w:rPr>
          <w:rFonts w:ascii="Arial" w:hAnsi="Arial" w:cs="Arial"/>
          <w:i/>
        </w:rPr>
        <w:t>contrato o en el caso de</w:t>
      </w:r>
      <w:r w:rsidR="006617E3">
        <w:rPr>
          <w:rFonts w:ascii="Arial" w:hAnsi="Arial" w:cs="Arial"/>
          <w:i/>
        </w:rPr>
        <w:t xml:space="preserve"> </w:t>
      </w:r>
      <w:r w:rsidRPr="00396916">
        <w:rPr>
          <w:rFonts w:ascii="Arial" w:hAnsi="Arial" w:cs="Arial"/>
          <w:i/>
        </w:rPr>
        <w:t xml:space="preserve"> acuerdos marco,</w:t>
      </w:r>
      <w:r w:rsidR="006617E3">
        <w:rPr>
          <w:rFonts w:ascii="Arial" w:hAnsi="Arial" w:cs="Arial"/>
          <w:i/>
        </w:rPr>
        <w:t xml:space="preserve"> </w:t>
      </w:r>
      <w:r w:rsidR="00306294">
        <w:rPr>
          <w:rFonts w:ascii="Arial" w:hAnsi="Arial" w:cs="Arial"/>
          <w:i/>
        </w:rPr>
        <w:t xml:space="preserve"> </w:t>
      </w:r>
      <w:r w:rsidRPr="00396916">
        <w:rPr>
          <w:rFonts w:ascii="Arial" w:hAnsi="Arial" w:cs="Arial"/>
          <w:i/>
        </w:rPr>
        <w:t xml:space="preserve">el valor </w:t>
      </w:r>
    </w:p>
    <w:p w:rsidR="006617E3" w:rsidRDefault="006617E3" w:rsidP="00116838">
      <w:pPr>
        <w:spacing w:after="120" w:line="250" w:lineRule="auto"/>
        <w:ind w:left="11" w:right="0" w:firstLine="556"/>
        <w:rPr>
          <w:rFonts w:ascii="Arial" w:hAnsi="Arial" w:cs="Arial"/>
          <w:i/>
        </w:rPr>
      </w:pPr>
    </w:p>
    <w:p w:rsidR="006617E3" w:rsidRDefault="006617E3" w:rsidP="006617E3">
      <w:pPr>
        <w:spacing w:after="120" w:line="250" w:lineRule="auto"/>
        <w:ind w:left="11" w:right="0" w:hanging="11"/>
        <w:rPr>
          <w:rFonts w:ascii="Arial" w:hAnsi="Arial" w:cs="Arial"/>
          <w:i/>
        </w:rPr>
      </w:pPr>
    </w:p>
    <w:p w:rsidR="00116838" w:rsidRPr="00396916" w:rsidRDefault="009D6E73" w:rsidP="006617E3">
      <w:pPr>
        <w:spacing w:after="120" w:line="250" w:lineRule="auto"/>
        <w:ind w:left="11" w:right="0" w:hanging="11"/>
        <w:rPr>
          <w:rFonts w:ascii="Arial" w:hAnsi="Arial" w:cs="Arial"/>
          <w:i/>
        </w:rPr>
      </w:pPr>
      <w:r w:rsidRPr="00396916">
        <w:rPr>
          <w:rFonts w:ascii="Arial" w:hAnsi="Arial" w:cs="Arial"/>
          <w:i/>
        </w:rPr>
        <w:t>estimado, exceda de 600.000 euros, tratándose de obras, concesiones de obras, concesiones de servicios y acuerdos marco; de 450.000 euros, tratándose de suministros; y de 150.000 euros, tratándose de servicios y de contra</w:t>
      </w:r>
      <w:r w:rsidR="00116838" w:rsidRPr="00396916">
        <w:rPr>
          <w:rFonts w:ascii="Arial" w:hAnsi="Arial" w:cs="Arial"/>
          <w:i/>
        </w:rPr>
        <w:t>tos administrativos especiales.</w:t>
      </w:r>
    </w:p>
    <w:p w:rsidR="00116838" w:rsidRPr="00396916" w:rsidRDefault="009D6E73" w:rsidP="00116838">
      <w:pPr>
        <w:spacing w:after="120" w:line="250" w:lineRule="auto"/>
        <w:ind w:left="11" w:right="0" w:firstLine="556"/>
        <w:rPr>
          <w:rFonts w:ascii="Arial" w:hAnsi="Arial" w:cs="Arial"/>
          <w:i/>
        </w:rPr>
      </w:pPr>
      <w:r w:rsidRPr="00396916">
        <w:rPr>
          <w:rFonts w:ascii="Arial" w:hAnsi="Arial" w:cs="Arial"/>
          <w:i/>
        </w:rPr>
        <w:t>Asimismo, serán objeto de remisión al Tribunal de Cuentas u órgano externo de fiscalización de la Comunidad Autónoma la copia certificada y el extracto del expediente a los que se refiere el párrafo anterior, relativos a los contratos basados en un acuerdo marco y a los contratos específicos celebrados en el marco de un sistema dinámico de adquisición, siempre que el precio de adjudicación del contrato exceda en función de su naturaleza de las cuantías señaladas en el citado párrafo.</w:t>
      </w:r>
    </w:p>
    <w:p w:rsidR="00116838" w:rsidRPr="00396916" w:rsidRDefault="009D6E73" w:rsidP="00955EDA">
      <w:pPr>
        <w:spacing w:after="120" w:line="250" w:lineRule="auto"/>
        <w:ind w:left="11" w:right="0" w:firstLine="556"/>
        <w:rPr>
          <w:rFonts w:ascii="Arial" w:hAnsi="Arial" w:cs="Arial"/>
          <w:i/>
        </w:rPr>
      </w:pPr>
      <w:r w:rsidRPr="00396916">
        <w:rPr>
          <w:rFonts w:ascii="Arial" w:hAnsi="Arial" w:cs="Arial"/>
          <w:i/>
        </w:rPr>
        <w:t>Además, se remitirá una relación del resto de contratos celebrados incluyendo los contratos menores, excepto aquellos que siendo su importe inferior a cinco mil euros se satisfagan a través del sistema de anticipo de caja fija u otro sistema similar para realizar pagos menores, donde se consignará la identidad del</w:t>
      </w:r>
      <w:r w:rsidR="00955EDA">
        <w:rPr>
          <w:rFonts w:ascii="Arial" w:hAnsi="Arial" w:cs="Arial"/>
          <w:i/>
        </w:rPr>
        <w:t xml:space="preserve"> </w:t>
      </w:r>
      <w:r w:rsidRPr="00396916">
        <w:rPr>
          <w:rFonts w:ascii="Arial" w:hAnsi="Arial" w:cs="Arial"/>
          <w:i/>
        </w:rPr>
        <w:t xml:space="preserve"> adjudicatario, el objeto del contrato y su cuantía. Dichas relaciones se ordenarán por adjudicatario. Esta remisión podrá realizarse directamente por vía electrónica por la Plataforma de Contratación donde tenga ubicado su perfil del contratante el correspondiente órgano de contratación.</w:t>
      </w:r>
    </w:p>
    <w:p w:rsidR="00116838" w:rsidRPr="00396916" w:rsidRDefault="00116838" w:rsidP="00116838">
      <w:pPr>
        <w:spacing w:after="120" w:line="250" w:lineRule="auto"/>
        <w:ind w:left="11" w:right="0" w:firstLine="556"/>
        <w:rPr>
          <w:rFonts w:ascii="Arial" w:hAnsi="Arial" w:cs="Arial"/>
          <w:i/>
        </w:rPr>
      </w:pPr>
      <w:r w:rsidRPr="00396916">
        <w:rPr>
          <w:rFonts w:ascii="Arial" w:hAnsi="Arial" w:cs="Arial"/>
          <w:i/>
        </w:rPr>
        <w:t xml:space="preserve">2.- </w:t>
      </w:r>
      <w:r w:rsidR="009D6E73" w:rsidRPr="00396916">
        <w:rPr>
          <w:rFonts w:ascii="Arial" w:hAnsi="Arial" w:cs="Arial"/>
          <w:i/>
        </w:rPr>
        <w:t>Igualmente se comunicarán al Tribunal de Cuentas u órgano externo de fiscalización de la Comunidad Autónoma las modificaciones, prórrogas o variaciones de plazos, las variaciones de precio y el importe final, la nulidad y la extinción normal o anor</w:t>
      </w:r>
      <w:r w:rsidRPr="00396916">
        <w:rPr>
          <w:rFonts w:ascii="Arial" w:hAnsi="Arial" w:cs="Arial"/>
          <w:i/>
        </w:rPr>
        <w:t>mal de los contratos indicados.</w:t>
      </w:r>
    </w:p>
    <w:p w:rsidR="00116838" w:rsidRPr="00396916" w:rsidRDefault="00116838" w:rsidP="00116838">
      <w:pPr>
        <w:spacing w:after="120" w:line="250" w:lineRule="auto"/>
        <w:ind w:left="11" w:right="0" w:firstLine="556"/>
        <w:rPr>
          <w:rFonts w:ascii="Arial" w:hAnsi="Arial" w:cs="Arial"/>
          <w:i/>
        </w:rPr>
      </w:pPr>
      <w:r w:rsidRPr="00396916">
        <w:rPr>
          <w:rFonts w:ascii="Arial" w:hAnsi="Arial" w:cs="Arial"/>
          <w:i/>
        </w:rPr>
        <w:t xml:space="preserve">3.- </w:t>
      </w:r>
      <w:r w:rsidR="009D6E73" w:rsidRPr="00396916">
        <w:rPr>
          <w:rFonts w:ascii="Arial" w:hAnsi="Arial" w:cs="Arial"/>
          <w:i/>
        </w:rPr>
        <w:t>Lo dispuesto en los dos apartados anteriores se entenderá sin perjuicio de las facultades del Tribunal de Cuentas o, en su caso, de los correspondientes órganos de fiscalización externos de las Comunidades Autónomas para reclamar cuantos datos, documentos y antecedentes estime pertinentes con relación a los contratos de cualquier na</w:t>
      </w:r>
      <w:r w:rsidRPr="00396916">
        <w:rPr>
          <w:rFonts w:ascii="Arial" w:hAnsi="Arial" w:cs="Arial"/>
          <w:i/>
        </w:rPr>
        <w:t>turaleza y cuantía.</w:t>
      </w:r>
    </w:p>
    <w:p w:rsidR="00116838" w:rsidRPr="00396916" w:rsidRDefault="00116838" w:rsidP="00116838">
      <w:pPr>
        <w:spacing w:after="120" w:line="250" w:lineRule="auto"/>
        <w:ind w:left="11" w:right="0" w:firstLine="556"/>
        <w:rPr>
          <w:rFonts w:ascii="Arial" w:hAnsi="Arial" w:cs="Arial"/>
          <w:i/>
        </w:rPr>
      </w:pPr>
      <w:r w:rsidRPr="00396916">
        <w:rPr>
          <w:rFonts w:ascii="Arial" w:hAnsi="Arial" w:cs="Arial"/>
          <w:i/>
        </w:rPr>
        <w:t>4.-</w:t>
      </w:r>
      <w:r w:rsidR="009D6E73" w:rsidRPr="00396916">
        <w:rPr>
          <w:rFonts w:ascii="Arial" w:hAnsi="Arial" w:cs="Arial"/>
          <w:i/>
        </w:rPr>
        <w:t>Las comunicaciones a que se refiere este artículo se efectuarán por el órgano de contratación en el ámbito de la Administración General del Estado y de entidades del secto</w:t>
      </w:r>
      <w:r w:rsidRPr="00396916">
        <w:rPr>
          <w:rFonts w:ascii="Arial" w:hAnsi="Arial" w:cs="Arial"/>
          <w:i/>
        </w:rPr>
        <w:t>r público dependientes de ella.</w:t>
      </w:r>
    </w:p>
    <w:p w:rsidR="00295FCC" w:rsidRPr="00396916" w:rsidRDefault="00116838" w:rsidP="00116838">
      <w:pPr>
        <w:spacing w:after="120" w:line="250" w:lineRule="auto"/>
        <w:ind w:left="11" w:right="0" w:firstLine="556"/>
        <w:rPr>
          <w:rFonts w:ascii="Arial" w:hAnsi="Arial" w:cs="Arial"/>
        </w:rPr>
      </w:pPr>
      <w:r w:rsidRPr="00396916">
        <w:rPr>
          <w:rFonts w:ascii="Arial" w:hAnsi="Arial" w:cs="Arial"/>
          <w:i/>
        </w:rPr>
        <w:t xml:space="preserve">5.- </w:t>
      </w:r>
      <w:r w:rsidR="009D6E73" w:rsidRPr="00396916">
        <w:rPr>
          <w:rFonts w:ascii="Arial" w:hAnsi="Arial" w:cs="Arial"/>
          <w:i/>
        </w:rPr>
        <w:t>La forma y el procedimiento para hacer efectivas las remisiones a que se refiere el presente artículo podrán determinarse por el Tribunal de Cuentas u órgano externo de fiscalización de la Comunidad Autónoma mediante las correspondientes instrucciones</w:t>
      </w:r>
      <w:r w:rsidRPr="00396916">
        <w:rPr>
          <w:rFonts w:ascii="Arial" w:hAnsi="Arial" w:cs="Arial"/>
          <w:i/>
        </w:rPr>
        <w:t>.".</w:t>
      </w:r>
    </w:p>
    <w:p w:rsidR="00295FCC" w:rsidRPr="00116838" w:rsidRDefault="009D6E73" w:rsidP="00116838">
      <w:pPr>
        <w:spacing w:after="120" w:line="250" w:lineRule="auto"/>
        <w:ind w:left="11" w:right="0" w:firstLine="556"/>
        <w:rPr>
          <w:rFonts w:ascii="Arial" w:hAnsi="Arial" w:cs="Arial"/>
        </w:rPr>
      </w:pPr>
      <w:r w:rsidRPr="00116838">
        <w:rPr>
          <w:rFonts w:ascii="Arial" w:hAnsi="Arial" w:cs="Arial"/>
        </w:rPr>
        <w:t xml:space="preserve"> El Consejo de Cuentas de Castilla y León, por Acuerdo 86/2018 de 11 de septiembre, aprobó la Instrucción por la que se regula la remisión telemática de los extractos de los expedientes de contratación y de las relaciones anuales de los contratos celebrados por las entidades y entes del sector público local al amparo de la Ley 9/2017, de 8 de noviembre, de Contratos del Sector Público (LCSP). </w:t>
      </w:r>
    </w:p>
    <w:p w:rsidR="00295FCC" w:rsidRDefault="009D6E73" w:rsidP="00116838">
      <w:pPr>
        <w:spacing w:after="120" w:line="250" w:lineRule="auto"/>
        <w:ind w:left="11" w:right="0" w:firstLine="556"/>
      </w:pPr>
      <w:r w:rsidRPr="00116838">
        <w:rPr>
          <w:rFonts w:ascii="Arial" w:hAnsi="Arial" w:cs="Arial"/>
        </w:rPr>
        <w:t xml:space="preserve"> En la Instrucción se recoge lo establecido en el artículo 335 de la LCSP y concreta que la remisión de los extractos de los expedientes de contratación y de las relaciones anuales de los contratos están recogidas en la actualidad en: </w:t>
      </w:r>
      <w:r>
        <w:t xml:space="preserve"> </w:t>
      </w:r>
    </w:p>
    <w:p w:rsidR="00295FCC" w:rsidRPr="00116838" w:rsidRDefault="009D6E73" w:rsidP="00116838">
      <w:pPr>
        <w:numPr>
          <w:ilvl w:val="1"/>
          <w:numId w:val="5"/>
        </w:numPr>
        <w:spacing w:after="120" w:line="250" w:lineRule="auto"/>
        <w:ind w:left="924" w:right="0" w:hanging="357"/>
        <w:rPr>
          <w:rFonts w:ascii="Arial" w:hAnsi="Arial" w:cs="Arial"/>
        </w:rPr>
      </w:pPr>
      <w:r w:rsidRPr="00116838">
        <w:rPr>
          <w:rFonts w:ascii="Arial" w:hAnsi="Arial" w:cs="Arial"/>
        </w:rPr>
        <w:t xml:space="preserve">Art. 335 de la Ley 9/2017 de Contratos del Sector Público. </w:t>
      </w:r>
    </w:p>
    <w:p w:rsidR="00295FCC" w:rsidRPr="00116838" w:rsidRDefault="009D6E73" w:rsidP="00116838">
      <w:pPr>
        <w:numPr>
          <w:ilvl w:val="1"/>
          <w:numId w:val="5"/>
        </w:numPr>
        <w:spacing w:after="120" w:line="250" w:lineRule="auto"/>
        <w:ind w:left="924" w:right="0" w:hanging="357"/>
        <w:rPr>
          <w:rFonts w:ascii="Arial" w:hAnsi="Arial" w:cs="Arial"/>
        </w:rPr>
      </w:pPr>
      <w:r w:rsidRPr="00116838">
        <w:rPr>
          <w:rFonts w:ascii="Arial" w:hAnsi="Arial" w:cs="Arial"/>
        </w:rPr>
        <w:t xml:space="preserve">Acuerdo del Pleno del Tribunal de Cuentas de 28 de junio de 2018, (BOE 10 de julio de 2018), por el que se aprueba la Instrucción relativa a la remisión telemática al Tribunal de Cuentas de los extractos de los expedientes de contratación y de las relaciones anuales de los contratos celebrados por la entidades y entes del sector público local al amparo de la Ley 9/2017, de Contratos del Sector Público. </w:t>
      </w:r>
    </w:p>
    <w:p w:rsidR="00CE0012" w:rsidRDefault="009D6E73" w:rsidP="00116838">
      <w:pPr>
        <w:spacing w:after="120" w:line="250" w:lineRule="auto"/>
        <w:ind w:left="11" w:right="0" w:firstLine="556"/>
      </w:pPr>
      <w:r>
        <w:t xml:space="preserve"> </w:t>
      </w:r>
    </w:p>
    <w:p w:rsidR="00CE0012" w:rsidRDefault="00CE0012" w:rsidP="00CE0012">
      <w:pPr>
        <w:spacing w:after="120" w:line="250" w:lineRule="auto"/>
        <w:ind w:left="11" w:right="0" w:firstLine="556"/>
      </w:pPr>
    </w:p>
    <w:p w:rsidR="00295FCC" w:rsidRPr="00116838" w:rsidRDefault="009D6E73" w:rsidP="00CE0012">
      <w:pPr>
        <w:spacing w:after="120" w:line="250" w:lineRule="auto"/>
        <w:ind w:left="11" w:right="0" w:firstLine="556"/>
        <w:rPr>
          <w:rFonts w:ascii="Arial" w:hAnsi="Arial" w:cs="Arial"/>
        </w:rPr>
      </w:pPr>
      <w:r w:rsidRPr="00116838">
        <w:rPr>
          <w:rFonts w:ascii="Arial" w:hAnsi="Arial" w:cs="Arial"/>
        </w:rPr>
        <w:t>El acuerdo adoptado por el Consejo de Cuentas de Castilla y León, en</w:t>
      </w:r>
      <w:r w:rsidR="00CE0012">
        <w:rPr>
          <w:rFonts w:ascii="Arial" w:hAnsi="Arial" w:cs="Arial"/>
        </w:rPr>
        <w:t xml:space="preserve"> la</w:t>
      </w:r>
      <w:r w:rsidRPr="00116838">
        <w:rPr>
          <w:rFonts w:ascii="Arial" w:hAnsi="Arial" w:cs="Arial"/>
        </w:rPr>
        <w:t xml:space="preserve"> referida Instrucción, es que se considera cumplida la obligación de remisión de la información contractual prevista en el artículo 335 de la LCSP al Consejo de Cuentas de Castilla y León, siempre que dicha información se rinda en la Plataforma de Rendición de Cuentas, de acuerdo con lo previsto en la Instrucción del Tribunal de Cuentas de 28 de junio de 2018 a la que antes nos hemos referido. </w:t>
      </w:r>
    </w:p>
    <w:p w:rsidR="00295FCC" w:rsidRPr="00116838" w:rsidRDefault="009D6E73" w:rsidP="00116838">
      <w:pPr>
        <w:spacing w:after="120" w:line="250" w:lineRule="auto"/>
        <w:ind w:left="11" w:right="0" w:firstLine="556"/>
        <w:rPr>
          <w:rFonts w:ascii="Arial" w:hAnsi="Arial" w:cs="Arial"/>
        </w:rPr>
      </w:pPr>
      <w:r w:rsidRPr="00116838">
        <w:rPr>
          <w:rFonts w:ascii="Arial" w:hAnsi="Arial" w:cs="Arial"/>
        </w:rPr>
        <w:t xml:space="preserve"> La Instrucción del Consejo de Cuentas de Castilla y León entró en vigor el día 3 de octubre de 2018. </w:t>
      </w:r>
    </w:p>
    <w:p w:rsidR="00295FCC" w:rsidRPr="00116838" w:rsidRDefault="009D6E73" w:rsidP="00116838">
      <w:pPr>
        <w:spacing w:after="120" w:line="250" w:lineRule="auto"/>
        <w:ind w:left="11" w:right="0" w:firstLine="556"/>
        <w:rPr>
          <w:rFonts w:ascii="Arial" w:hAnsi="Arial" w:cs="Arial"/>
        </w:rPr>
      </w:pPr>
      <w:r w:rsidRPr="00116838">
        <w:rPr>
          <w:rFonts w:ascii="Arial" w:hAnsi="Arial" w:cs="Arial"/>
        </w:rPr>
        <w:t>Conforme a la Instrucción del Tribunal de Cuentas de 28 de junio de 2018 la documentación a remitir será la siguiente (para mayor detalle consultar e</w:t>
      </w:r>
      <w:r w:rsidR="0064471C">
        <w:rPr>
          <w:rFonts w:ascii="Arial" w:hAnsi="Arial" w:cs="Arial"/>
        </w:rPr>
        <w:t>sta Instrucción (BOE 10-07-18):</w:t>
      </w:r>
    </w:p>
    <w:p w:rsidR="00295FCC" w:rsidRPr="00037DAC" w:rsidRDefault="009D6E73" w:rsidP="00037DAC">
      <w:pPr>
        <w:spacing w:after="120" w:line="250" w:lineRule="auto"/>
        <w:ind w:left="11" w:right="0" w:firstLine="556"/>
        <w:rPr>
          <w:rFonts w:ascii="Arial" w:hAnsi="Arial" w:cs="Arial"/>
        </w:rPr>
      </w:pPr>
      <w:r w:rsidRPr="00037DAC">
        <w:rPr>
          <w:rFonts w:ascii="Arial" w:hAnsi="Arial" w:cs="Arial"/>
        </w:rPr>
        <w:t xml:space="preserve"> </w:t>
      </w:r>
      <w:r w:rsidRPr="00037DAC">
        <w:rPr>
          <w:rFonts w:ascii="Arial" w:hAnsi="Arial" w:cs="Arial"/>
          <w:b/>
        </w:rPr>
        <w:t>1. Anualmente, y dentro de los dos primeros meses de cada ejercicio,</w:t>
      </w:r>
      <w:r w:rsidRPr="00037DAC">
        <w:rPr>
          <w:rFonts w:ascii="Arial" w:hAnsi="Arial" w:cs="Arial"/>
        </w:rPr>
        <w:t xml:space="preserve"> deberá remitirse relación certificada comprensiva de los contratos formalizados en el ejercicio precedente, incluidos los contratos menores, identificados estos últimos como aquellos contratos de valor estimado inferior a 40.000 euros, cuando se trate de contratos de obras, o a 15.000 euros, cuando se trate de contratos de suministro o servicios. Se exceptúan de esta obligación aquellos contratos de importe inferior a 5.000 euros que se hayan satisfecho a través del sistema de anticipo de caja fija u otro similar para realizar pagos menores. La información contendrá los datos que vienen determinados en la Plataforma, entre otros, los relativos a la entidad y órgano contratante</w:t>
      </w:r>
      <w:r w:rsidR="003A36BA">
        <w:rPr>
          <w:rFonts w:ascii="Arial" w:hAnsi="Arial" w:cs="Arial"/>
        </w:rPr>
        <w:t xml:space="preserve">, </w:t>
      </w:r>
      <w:r w:rsidRPr="00037DAC">
        <w:rPr>
          <w:rFonts w:ascii="Arial" w:hAnsi="Arial" w:cs="Arial"/>
        </w:rPr>
        <w:t>así como los básicos del contrato, descriptivos del objeto, procedimiento, adjudicatario, publicidad, precio y plazo. En el supuesto d</w:t>
      </w:r>
      <w:r w:rsidR="00037DAC">
        <w:rPr>
          <w:rFonts w:ascii="Arial" w:hAnsi="Arial" w:cs="Arial"/>
        </w:rPr>
        <w:t xml:space="preserve">e que no se hubiesen celebrado </w:t>
      </w:r>
      <w:r w:rsidRPr="00037DAC">
        <w:rPr>
          <w:rFonts w:ascii="Arial" w:hAnsi="Arial" w:cs="Arial"/>
        </w:rPr>
        <w:t xml:space="preserve">contratos de los mencionados anteriormente, se hará constar dicha circunstancia mediante la certificación negativa que la aplicación contiene. </w:t>
      </w:r>
    </w:p>
    <w:p w:rsidR="00295FCC" w:rsidRPr="00037DAC" w:rsidRDefault="009D6E73" w:rsidP="00037DAC">
      <w:pPr>
        <w:spacing w:after="120" w:line="250" w:lineRule="auto"/>
        <w:ind w:left="11" w:right="0" w:firstLine="556"/>
        <w:rPr>
          <w:rFonts w:ascii="Arial" w:hAnsi="Arial" w:cs="Arial"/>
          <w:b/>
        </w:rPr>
      </w:pPr>
      <w:r w:rsidRPr="00037DAC">
        <w:rPr>
          <w:rFonts w:ascii="Arial" w:hAnsi="Arial" w:cs="Arial"/>
        </w:rPr>
        <w:t xml:space="preserve"> </w:t>
      </w:r>
      <w:r w:rsidRPr="00037DAC">
        <w:rPr>
          <w:rFonts w:ascii="Arial" w:hAnsi="Arial" w:cs="Arial"/>
          <w:b/>
          <w:u w:val="single"/>
        </w:rPr>
        <w:t>AVISO</w:t>
      </w:r>
      <w:r w:rsidRPr="00037DAC">
        <w:rPr>
          <w:rFonts w:ascii="Arial" w:hAnsi="Arial" w:cs="Arial"/>
        </w:rPr>
        <w:t xml:space="preserve">: La Plataforma de Rendición de Cuentas está operativa para la remisión por las entidades locales de la </w:t>
      </w:r>
      <w:r w:rsidRPr="00037DAC">
        <w:rPr>
          <w:rFonts w:ascii="Arial" w:hAnsi="Arial" w:cs="Arial"/>
          <w:u w:val="single"/>
        </w:rPr>
        <w:t>relación certificada de los contratos celebrados en el ejercicio 202</w:t>
      </w:r>
      <w:r w:rsidR="00037DAC" w:rsidRPr="00037DAC">
        <w:rPr>
          <w:rFonts w:ascii="Arial" w:hAnsi="Arial" w:cs="Arial"/>
          <w:u w:val="single"/>
        </w:rPr>
        <w:t>3</w:t>
      </w:r>
      <w:r w:rsidRPr="00037DAC">
        <w:rPr>
          <w:rFonts w:ascii="Arial" w:hAnsi="Arial" w:cs="Arial"/>
        </w:rPr>
        <w:t xml:space="preserve">. En caso de no haberse celebrado ninguno, se deberá remitir una certificación negativa. </w:t>
      </w:r>
      <w:r w:rsidRPr="00037DAC">
        <w:rPr>
          <w:rFonts w:ascii="Arial" w:hAnsi="Arial" w:cs="Arial"/>
          <w:b/>
        </w:rPr>
        <w:t>(Plazo: antes de que concluya el mes de febrero 202</w:t>
      </w:r>
      <w:r w:rsidR="00037DAC">
        <w:rPr>
          <w:rFonts w:ascii="Arial" w:hAnsi="Arial" w:cs="Arial"/>
          <w:b/>
        </w:rPr>
        <w:t>4</w:t>
      </w:r>
      <w:r w:rsidRPr="00037DAC">
        <w:rPr>
          <w:rFonts w:ascii="Arial" w:hAnsi="Arial" w:cs="Arial"/>
          <w:b/>
        </w:rPr>
        <w:t xml:space="preserve">) </w:t>
      </w:r>
    </w:p>
    <w:p w:rsidR="00295FCC" w:rsidRPr="00037DAC" w:rsidRDefault="009D6E73" w:rsidP="00037DAC">
      <w:pPr>
        <w:spacing w:after="120" w:line="250" w:lineRule="auto"/>
        <w:ind w:left="11" w:right="0" w:firstLine="556"/>
        <w:rPr>
          <w:rFonts w:ascii="Arial" w:hAnsi="Arial" w:cs="Arial"/>
        </w:rPr>
      </w:pPr>
      <w:r w:rsidRPr="00037DAC">
        <w:rPr>
          <w:rFonts w:ascii="Arial" w:hAnsi="Arial" w:cs="Arial"/>
        </w:rPr>
        <w:t xml:space="preserve"> </w:t>
      </w:r>
      <w:r w:rsidR="00037DAC" w:rsidRPr="00037DAC">
        <w:rPr>
          <w:rFonts w:ascii="Arial" w:hAnsi="Arial" w:cs="Arial"/>
          <w:b/>
        </w:rPr>
        <w:t xml:space="preserve">2. </w:t>
      </w:r>
      <w:r w:rsidRPr="00037DAC">
        <w:rPr>
          <w:rFonts w:ascii="Arial" w:hAnsi="Arial" w:cs="Arial"/>
          <w:b/>
        </w:rPr>
        <w:t>Dentro de los tres meses siguientes a la formalización</w:t>
      </w:r>
      <w:r w:rsidRPr="00037DAC">
        <w:rPr>
          <w:rFonts w:ascii="Arial" w:hAnsi="Arial" w:cs="Arial"/>
        </w:rPr>
        <w:t xml:space="preserve"> de cada contrato en los términos indicados en el art. 335.1 de la LCSP, deberá enviarse </w:t>
      </w:r>
      <w:r w:rsidRPr="00037DAC">
        <w:rPr>
          <w:rFonts w:ascii="Arial" w:hAnsi="Arial" w:cs="Arial"/>
          <w:u w:val="single"/>
        </w:rPr>
        <w:t>copia certificada del documento de formalización acompañada del extracto del expediente de contratación</w:t>
      </w:r>
      <w:r w:rsidRPr="00037DAC">
        <w:rPr>
          <w:rFonts w:ascii="Arial" w:hAnsi="Arial" w:cs="Arial"/>
        </w:rPr>
        <w:t xml:space="preserve"> (cuando el precio de adjudicación del contrato supere ciertas cuantías. Esas cuantías son las siguientes: exceda de 600.000 euros, tratándose de contratos de obras, de concesión de obras y de concesión de servicios; de 450.000 euros, para los contratos de suministro, y de 150.000 euros, en los contratos de servicios y en los contratos administrativos especiales; de 600.000 euros (valor estimado) para los acuerdos marco). </w:t>
      </w:r>
    </w:p>
    <w:p w:rsidR="00295FCC" w:rsidRPr="00037DAC" w:rsidRDefault="009D6E73" w:rsidP="00037DAC">
      <w:pPr>
        <w:spacing w:after="120" w:line="250" w:lineRule="auto"/>
        <w:ind w:left="11" w:right="0" w:firstLine="556"/>
        <w:rPr>
          <w:rFonts w:ascii="Arial" w:hAnsi="Arial" w:cs="Arial"/>
        </w:rPr>
      </w:pPr>
      <w:r w:rsidRPr="0099466B">
        <w:rPr>
          <w:rFonts w:ascii="Arial" w:hAnsi="Arial" w:cs="Arial"/>
          <w:b/>
        </w:rPr>
        <w:t xml:space="preserve"> </w:t>
      </w:r>
      <w:r w:rsidR="0099466B" w:rsidRPr="0099466B">
        <w:rPr>
          <w:rFonts w:ascii="Arial" w:hAnsi="Arial" w:cs="Arial"/>
          <w:b/>
        </w:rPr>
        <w:t xml:space="preserve">3. </w:t>
      </w:r>
      <w:r w:rsidRPr="0099466B">
        <w:rPr>
          <w:rFonts w:ascii="Arial" w:hAnsi="Arial" w:cs="Arial"/>
          <w:b/>
        </w:rPr>
        <w:t xml:space="preserve">Dentro de los tres meses siguientes a la fecha en la que tengan lugar, </w:t>
      </w:r>
      <w:r w:rsidRPr="00037DAC">
        <w:rPr>
          <w:rFonts w:ascii="Arial" w:hAnsi="Arial" w:cs="Arial"/>
        </w:rPr>
        <w:t xml:space="preserve">deberán comunicarse al Consejo de Cuentas las </w:t>
      </w:r>
      <w:r w:rsidRPr="0099466B">
        <w:rPr>
          <w:rFonts w:ascii="Arial" w:hAnsi="Arial" w:cs="Arial"/>
          <w:u w:val="single"/>
        </w:rPr>
        <w:t>modificaciones, prórrogas o variaciones de plazos, las variaciones de precio y el importe final, la nulidad y la extinción</w:t>
      </w:r>
      <w:r w:rsidRPr="00037DAC">
        <w:rPr>
          <w:rFonts w:ascii="Arial" w:hAnsi="Arial" w:cs="Arial"/>
        </w:rPr>
        <w:t xml:space="preserve"> normal o anormal de los contratos referidos en el apartado anterior que se efectúe conforme el artículo 335.2 de la LCSP.   </w:t>
      </w:r>
    </w:p>
    <w:p w:rsidR="00295FCC" w:rsidRPr="0099466B" w:rsidRDefault="009D6E73" w:rsidP="00512B75">
      <w:pPr>
        <w:spacing w:after="120" w:line="250" w:lineRule="auto"/>
        <w:ind w:left="11" w:right="0" w:firstLine="556"/>
        <w:rPr>
          <w:rFonts w:ascii="Arial" w:hAnsi="Arial" w:cs="Arial"/>
          <w:b/>
        </w:rPr>
      </w:pPr>
      <w:r w:rsidRPr="00037DAC">
        <w:rPr>
          <w:rFonts w:ascii="Arial" w:hAnsi="Arial" w:cs="Arial"/>
        </w:rPr>
        <w:t xml:space="preserve"> </w:t>
      </w:r>
      <w:r w:rsidRPr="0099466B">
        <w:rPr>
          <w:rFonts w:ascii="Arial" w:hAnsi="Arial" w:cs="Arial"/>
          <w:b/>
        </w:rPr>
        <w:t xml:space="preserve">Nota:  </w:t>
      </w:r>
    </w:p>
    <w:p w:rsidR="0099466B" w:rsidRDefault="009D6E73" w:rsidP="00512B75">
      <w:pPr>
        <w:pStyle w:val="Prrafodelista"/>
        <w:numPr>
          <w:ilvl w:val="0"/>
          <w:numId w:val="23"/>
        </w:numPr>
        <w:spacing w:after="120" w:line="250" w:lineRule="auto"/>
        <w:ind w:right="0"/>
        <w:contextualSpacing w:val="0"/>
        <w:rPr>
          <w:rFonts w:ascii="Arial" w:hAnsi="Arial" w:cs="Arial"/>
        </w:rPr>
      </w:pPr>
      <w:r w:rsidRPr="00037DAC">
        <w:rPr>
          <w:rFonts w:ascii="Arial" w:hAnsi="Arial" w:cs="Arial"/>
        </w:rPr>
        <w:t xml:space="preserve"> Las previsiones contenidas en apartados anteriores no serán de aplicación a los negocios y acuerdos recogidos en la Sección 2ª del capítulo 1º del Título Preliminar de la LCSP, por quedar expresamente excluidos de la misma.  </w:t>
      </w:r>
    </w:p>
    <w:p w:rsidR="0035489D" w:rsidRDefault="0035489D" w:rsidP="0035489D">
      <w:pPr>
        <w:spacing w:after="120" w:line="250" w:lineRule="auto"/>
        <w:ind w:right="0"/>
        <w:rPr>
          <w:rFonts w:ascii="Arial" w:hAnsi="Arial" w:cs="Arial"/>
        </w:rPr>
      </w:pPr>
    </w:p>
    <w:p w:rsidR="0035489D" w:rsidRDefault="0035489D" w:rsidP="0035489D">
      <w:pPr>
        <w:spacing w:after="120" w:line="250" w:lineRule="auto"/>
        <w:ind w:right="0"/>
        <w:rPr>
          <w:rFonts w:ascii="Arial" w:hAnsi="Arial" w:cs="Arial"/>
        </w:rPr>
      </w:pPr>
    </w:p>
    <w:p w:rsidR="0035489D" w:rsidRPr="0035489D" w:rsidRDefault="0035489D" w:rsidP="0035489D">
      <w:pPr>
        <w:spacing w:after="120" w:line="250" w:lineRule="auto"/>
        <w:ind w:right="0"/>
        <w:rPr>
          <w:rFonts w:ascii="Arial" w:hAnsi="Arial" w:cs="Arial"/>
        </w:rPr>
      </w:pPr>
    </w:p>
    <w:p w:rsidR="0099466B" w:rsidRPr="0099466B" w:rsidRDefault="009D6E73" w:rsidP="00512B75">
      <w:pPr>
        <w:pStyle w:val="Prrafodelista"/>
        <w:numPr>
          <w:ilvl w:val="0"/>
          <w:numId w:val="23"/>
        </w:numPr>
        <w:spacing w:after="120" w:line="250" w:lineRule="auto"/>
        <w:ind w:right="0"/>
        <w:contextualSpacing w:val="0"/>
        <w:rPr>
          <w:rFonts w:ascii="Arial" w:hAnsi="Arial" w:cs="Arial"/>
        </w:rPr>
      </w:pPr>
      <w:r w:rsidRPr="0099466B">
        <w:rPr>
          <w:rFonts w:ascii="Arial" w:hAnsi="Arial" w:cs="Arial"/>
        </w:rPr>
        <w:lastRenderedPageBreak/>
        <w:t xml:space="preserve">Cuantía de los contratos: Se entenderá por importe de adjudicación del contrato a los efectos de la Instrucción, y a tenor del artículo 102.1 de la LCSP, </w:t>
      </w:r>
      <w:r w:rsidR="00B665AD">
        <w:rPr>
          <w:rFonts w:ascii="Arial" w:hAnsi="Arial" w:cs="Arial"/>
        </w:rPr>
        <w:t>su precio de adjudicación inclui</w:t>
      </w:r>
      <w:r w:rsidRPr="0099466B">
        <w:rPr>
          <w:rFonts w:ascii="Arial" w:hAnsi="Arial" w:cs="Arial"/>
        </w:rPr>
        <w:t xml:space="preserve">dos el IVA y otros impuestos indirectos, debiendo indicarse éstos como partida independiente. </w:t>
      </w:r>
    </w:p>
    <w:p w:rsidR="00295FCC" w:rsidRPr="0099466B" w:rsidRDefault="009D6E73" w:rsidP="00512B75">
      <w:pPr>
        <w:pStyle w:val="Prrafodelista"/>
        <w:numPr>
          <w:ilvl w:val="0"/>
          <w:numId w:val="23"/>
        </w:numPr>
        <w:spacing w:after="120" w:line="250" w:lineRule="auto"/>
        <w:ind w:right="0"/>
        <w:contextualSpacing w:val="0"/>
        <w:rPr>
          <w:rFonts w:ascii="Arial" w:hAnsi="Arial" w:cs="Arial"/>
        </w:rPr>
      </w:pPr>
      <w:r w:rsidRPr="0099466B">
        <w:rPr>
          <w:rFonts w:ascii="Arial" w:hAnsi="Arial" w:cs="Arial"/>
        </w:rPr>
        <w:t xml:space="preserve">Asimismo, en los expedientes de contratación que den lugar a múltiples adjudicatarios y, por tanto, a múltiples contratos por la existencia de lotes o partidas, se tendrá en cuenta el precio de adjudicación agregado de todos los lotes integrantes del expediente para estimar la cuantía del contrato. </w:t>
      </w:r>
    </w:p>
    <w:p w:rsidR="00295FCC" w:rsidRDefault="009D6E73" w:rsidP="00512B75">
      <w:pPr>
        <w:spacing w:after="120" w:line="259" w:lineRule="auto"/>
        <w:ind w:left="927" w:right="0" w:firstLine="0"/>
        <w:rPr>
          <w:rFonts w:ascii="Arial" w:hAnsi="Arial" w:cs="Arial"/>
        </w:rPr>
      </w:pPr>
      <w:r w:rsidRPr="00B665AD">
        <w:rPr>
          <w:rFonts w:ascii="Arial" w:hAnsi="Arial" w:cs="Arial"/>
        </w:rPr>
        <w:t xml:space="preserve">La relación de documentación a remitir a lo largo del año en relación con la contratación celebrada, para las Entidades y Entes del sector público local que tengan consideración de Administración Pública, se detallan en el Anexo I de la Instrucción del Tribunal de Cuentas de 18 de junio de 2018 que venimos comentando.  </w:t>
      </w:r>
    </w:p>
    <w:p w:rsidR="00295FCC" w:rsidRPr="00B665AD" w:rsidRDefault="00512B75" w:rsidP="00512B75">
      <w:pPr>
        <w:pStyle w:val="Prrafodelista"/>
        <w:numPr>
          <w:ilvl w:val="0"/>
          <w:numId w:val="23"/>
        </w:numPr>
        <w:spacing w:after="120" w:line="250" w:lineRule="auto"/>
        <w:ind w:right="0"/>
        <w:contextualSpacing w:val="0"/>
        <w:rPr>
          <w:rFonts w:ascii="Arial" w:hAnsi="Arial" w:cs="Arial"/>
        </w:rPr>
      </w:pPr>
      <w:r>
        <w:rPr>
          <w:rFonts w:ascii="Arial" w:hAnsi="Arial" w:cs="Arial"/>
        </w:rPr>
        <w:t xml:space="preserve"> </w:t>
      </w:r>
      <w:r w:rsidR="009D6E73" w:rsidRPr="00B665AD">
        <w:rPr>
          <w:rFonts w:ascii="Arial" w:hAnsi="Arial" w:cs="Arial"/>
        </w:rPr>
        <w:t>A partir del 17 de marzo de 202</w:t>
      </w:r>
      <w:r w:rsidR="00DC04AE">
        <w:rPr>
          <w:rFonts w:ascii="Arial" w:hAnsi="Arial" w:cs="Arial"/>
        </w:rPr>
        <w:t>3</w:t>
      </w:r>
      <w:r w:rsidR="009D6E73" w:rsidRPr="00B665AD">
        <w:rPr>
          <w:rFonts w:ascii="Arial" w:hAnsi="Arial" w:cs="Arial"/>
        </w:rPr>
        <w:t>, se encuentra abierta la remisión de los extractos de expedientes de contratación correspondientes al ejercicio 202</w:t>
      </w:r>
      <w:r w:rsidR="00DC04AE">
        <w:rPr>
          <w:rFonts w:ascii="Arial" w:hAnsi="Arial" w:cs="Arial"/>
        </w:rPr>
        <w:t>3</w:t>
      </w:r>
      <w:r w:rsidR="009D6E73" w:rsidRPr="00B665AD">
        <w:rPr>
          <w:rFonts w:ascii="Arial" w:hAnsi="Arial" w:cs="Arial"/>
        </w:rPr>
        <w:t xml:space="preserve"> y la gestión de la relación de contratos correspondiente a ese ejercicio. A partir de este ejercicio, la Plataforma de Rendición de Cuentas incorpora un nuevo desarrollo que supone la conexión con la Plataforma de Contratación del Sector Público (PCSP).</w:t>
      </w:r>
    </w:p>
    <w:p w:rsidR="00295FCC" w:rsidRDefault="009D6E73" w:rsidP="00512B75">
      <w:pPr>
        <w:spacing w:after="120" w:line="250" w:lineRule="auto"/>
        <w:ind w:left="11" w:right="0" w:firstLine="556"/>
        <w:rPr>
          <w:rFonts w:ascii="Arial" w:hAnsi="Arial" w:cs="Arial"/>
        </w:rPr>
      </w:pPr>
      <w:r w:rsidRPr="00B665AD">
        <w:rPr>
          <w:rFonts w:ascii="Arial" w:hAnsi="Arial" w:cs="Arial"/>
        </w:rPr>
        <w:t xml:space="preserve"> Guía para la remisión de la relación de contratos de las Entidades Locales a la plataforma de contratos a partir del 202</w:t>
      </w:r>
      <w:r w:rsidR="00512B75">
        <w:rPr>
          <w:rFonts w:ascii="Arial" w:hAnsi="Arial" w:cs="Arial"/>
        </w:rPr>
        <w:t>3:</w:t>
      </w:r>
    </w:p>
    <w:p w:rsidR="00295FCC" w:rsidRDefault="009D6E73" w:rsidP="00512B75">
      <w:pPr>
        <w:spacing w:after="360" w:line="250" w:lineRule="auto"/>
        <w:ind w:left="652" w:right="0" w:hanging="11"/>
        <w:rPr>
          <w:rFonts w:ascii="Arial" w:hAnsi="Arial" w:cs="Arial"/>
        </w:rPr>
      </w:pPr>
      <w:r w:rsidRPr="00B665AD">
        <w:rPr>
          <w:rFonts w:ascii="Arial" w:hAnsi="Arial" w:cs="Arial"/>
        </w:rPr>
        <w:t xml:space="preserve">https://www.consejodecuentas.es/c-cuentas/cm/images?idMmedia=82082 </w:t>
      </w:r>
    </w:p>
    <w:p w:rsidR="00C911EF" w:rsidRPr="00116838" w:rsidRDefault="00C911EF" w:rsidP="00C911EF">
      <w:pPr>
        <w:pStyle w:val="Prrafodelista"/>
        <w:numPr>
          <w:ilvl w:val="0"/>
          <w:numId w:val="20"/>
        </w:numPr>
        <w:spacing w:after="120" w:line="250" w:lineRule="auto"/>
        <w:ind w:left="584" w:right="0" w:hanging="357"/>
        <w:contextualSpacing w:val="0"/>
        <w:rPr>
          <w:rFonts w:ascii="Arial" w:hAnsi="Arial" w:cs="Arial"/>
          <w:b/>
        </w:rPr>
      </w:pPr>
      <w:r>
        <w:rPr>
          <w:rFonts w:ascii="Arial" w:hAnsi="Arial" w:cs="Arial"/>
          <w:b/>
        </w:rPr>
        <w:t>CONVENIOS</w:t>
      </w:r>
    </w:p>
    <w:p w:rsidR="00295FCC" w:rsidRPr="009A543C" w:rsidRDefault="009D6E73" w:rsidP="009A543C">
      <w:pPr>
        <w:spacing w:after="120" w:line="250" w:lineRule="auto"/>
        <w:ind w:left="11" w:right="0" w:firstLine="556"/>
        <w:rPr>
          <w:rFonts w:ascii="Arial" w:hAnsi="Arial" w:cs="Arial"/>
        </w:rPr>
      </w:pPr>
      <w:r w:rsidRPr="009A543C">
        <w:rPr>
          <w:rFonts w:ascii="Arial" w:hAnsi="Arial" w:cs="Arial"/>
        </w:rPr>
        <w:t>Se debe remitir la información a la que se refiere el artículo 53 de la Ley 40/2015 de Régimen Jurídico del Sector Publico, en la forma y con el contenido que establece la Resolución de 2 de diciembre de 2016, de la Presidencia del Tribunal de Cuentas, por la que se publica el Acuerdo del Pleno de 24 de noviembre de 2016, por el que se aprueba la instrucción relativa a la remisión telemática al Tribunal de Cuentas  de convenios y de relaciones anuales de los celebrados por la entidades del sector público local</w:t>
      </w:r>
      <w:r w:rsidR="009A543C">
        <w:rPr>
          <w:rFonts w:ascii="Arial" w:hAnsi="Arial" w:cs="Arial"/>
        </w:rPr>
        <w:t xml:space="preserve">  (BOE 07/12/</w:t>
      </w:r>
      <w:r w:rsidRPr="009A543C">
        <w:rPr>
          <w:rFonts w:ascii="Arial" w:hAnsi="Arial" w:cs="Arial"/>
        </w:rPr>
        <w:t xml:space="preserve">2016) y Acuerdo del Acuerdo del Pleno del Consejo de Cuentas 121/2016 (BOCYL </w:t>
      </w:r>
      <w:r w:rsidR="009A543C">
        <w:rPr>
          <w:rFonts w:ascii="Arial" w:hAnsi="Arial" w:cs="Arial"/>
        </w:rPr>
        <w:t>1</w:t>
      </w:r>
      <w:r w:rsidRPr="009A543C">
        <w:rPr>
          <w:rFonts w:ascii="Arial" w:hAnsi="Arial" w:cs="Arial"/>
        </w:rPr>
        <w:t>0</w:t>
      </w:r>
      <w:r w:rsidR="009A543C">
        <w:rPr>
          <w:rFonts w:ascii="Arial" w:hAnsi="Arial" w:cs="Arial"/>
        </w:rPr>
        <w:t>/</w:t>
      </w:r>
      <w:r w:rsidRPr="009A543C">
        <w:rPr>
          <w:rFonts w:ascii="Arial" w:hAnsi="Arial" w:cs="Arial"/>
        </w:rPr>
        <w:t>01</w:t>
      </w:r>
      <w:r w:rsidR="009A543C">
        <w:rPr>
          <w:rFonts w:ascii="Arial" w:hAnsi="Arial" w:cs="Arial"/>
        </w:rPr>
        <w:t>/</w:t>
      </w:r>
      <w:r w:rsidRPr="009A543C">
        <w:rPr>
          <w:rFonts w:ascii="Arial" w:hAnsi="Arial" w:cs="Arial"/>
        </w:rPr>
        <w:t xml:space="preserve">2017) </w:t>
      </w:r>
    </w:p>
    <w:p w:rsidR="00295FCC" w:rsidRPr="009A543C" w:rsidRDefault="009D6E73" w:rsidP="009A543C">
      <w:pPr>
        <w:spacing w:after="120" w:line="250" w:lineRule="auto"/>
        <w:ind w:left="11" w:right="0" w:firstLine="556"/>
        <w:rPr>
          <w:rFonts w:ascii="Arial" w:hAnsi="Arial" w:cs="Arial"/>
        </w:rPr>
      </w:pPr>
      <w:r w:rsidRPr="009A543C">
        <w:rPr>
          <w:rFonts w:ascii="Arial" w:hAnsi="Arial" w:cs="Arial"/>
        </w:rPr>
        <w:t xml:space="preserve"> Información a remitir (para mayor detalle consultar la Resolución de 2 de diciembre de 2016): </w:t>
      </w:r>
    </w:p>
    <w:p w:rsidR="00295FCC" w:rsidRPr="00A35EF1" w:rsidRDefault="00A35EF1" w:rsidP="00A35EF1">
      <w:pPr>
        <w:spacing w:after="120" w:line="250" w:lineRule="auto"/>
        <w:ind w:left="11" w:right="0" w:firstLine="556"/>
        <w:rPr>
          <w:rFonts w:ascii="Arial" w:hAnsi="Arial" w:cs="Arial"/>
        </w:rPr>
      </w:pPr>
      <w:r>
        <w:rPr>
          <w:rFonts w:ascii="Arial" w:hAnsi="Arial" w:cs="Arial"/>
        </w:rPr>
        <w:t>1.- Documentación a remitir</w:t>
      </w:r>
      <w:r w:rsidR="009D6E73" w:rsidRPr="00A35EF1">
        <w:rPr>
          <w:rFonts w:ascii="Arial" w:hAnsi="Arial" w:cs="Arial"/>
        </w:rPr>
        <w:t xml:space="preserve"> </w:t>
      </w:r>
      <w:r w:rsidR="009D6E73" w:rsidRPr="00A35EF1">
        <w:rPr>
          <w:rFonts w:ascii="Arial" w:hAnsi="Arial" w:cs="Arial"/>
          <w:b/>
        </w:rPr>
        <w:t>a lo largo del ejercicio</w:t>
      </w:r>
      <w:r w:rsidR="009D6E73" w:rsidRPr="00A35EF1">
        <w:rPr>
          <w:rFonts w:ascii="Arial" w:hAnsi="Arial" w:cs="Arial"/>
        </w:rPr>
        <w:t xml:space="preserve">: </w:t>
      </w:r>
    </w:p>
    <w:p w:rsidR="00295FCC" w:rsidRPr="00A35EF1" w:rsidRDefault="009D6E73" w:rsidP="00A35EF1">
      <w:pPr>
        <w:spacing w:after="120" w:line="250" w:lineRule="auto"/>
        <w:ind w:left="11" w:right="0" w:firstLine="556"/>
        <w:rPr>
          <w:rFonts w:ascii="Arial" w:hAnsi="Arial" w:cs="Arial"/>
        </w:rPr>
      </w:pPr>
      <w:r w:rsidRPr="00A35EF1">
        <w:rPr>
          <w:rFonts w:ascii="Arial" w:hAnsi="Arial" w:cs="Arial"/>
        </w:rPr>
        <w:t xml:space="preserve"> </w:t>
      </w:r>
      <w:r w:rsidRPr="00A35EF1">
        <w:rPr>
          <w:rFonts w:ascii="Arial" w:hAnsi="Arial" w:cs="Arial"/>
          <w:b/>
        </w:rPr>
        <w:t>Dentro de los tres meses siguientes a la suscripción</w:t>
      </w:r>
      <w:r w:rsidRPr="00A35EF1">
        <w:rPr>
          <w:rFonts w:ascii="Arial" w:hAnsi="Arial" w:cs="Arial"/>
        </w:rPr>
        <w:t xml:space="preserve"> de cualquier convenio cuyos compromisos económicos asumidos superen los 600.000 euros, deberá remitirse por las entidades locales </w:t>
      </w:r>
      <w:r w:rsidRPr="00A35EF1">
        <w:rPr>
          <w:rFonts w:ascii="Arial" w:hAnsi="Arial" w:cs="Arial"/>
          <w:u w:val="single"/>
        </w:rPr>
        <w:t>copia del documento de formaliza</w:t>
      </w:r>
      <w:r w:rsidRPr="00A35EF1">
        <w:rPr>
          <w:rFonts w:ascii="Arial" w:hAnsi="Arial" w:cs="Arial"/>
        </w:rPr>
        <w:t xml:space="preserve">ción del convenio, acompañada de la correspondiente </w:t>
      </w:r>
      <w:r w:rsidRPr="00A35EF1">
        <w:rPr>
          <w:rFonts w:ascii="Arial" w:hAnsi="Arial" w:cs="Arial"/>
          <w:u w:val="single"/>
        </w:rPr>
        <w:t>memoria justificativa</w:t>
      </w:r>
      <w:r w:rsidRPr="00A35EF1">
        <w:rPr>
          <w:rFonts w:ascii="Arial" w:hAnsi="Arial" w:cs="Arial"/>
        </w:rPr>
        <w:t xml:space="preserve">. </w:t>
      </w:r>
    </w:p>
    <w:p w:rsidR="00295FCC" w:rsidRPr="00A35EF1" w:rsidRDefault="009D6E73" w:rsidP="00A35EF1">
      <w:pPr>
        <w:spacing w:after="120" w:line="250" w:lineRule="auto"/>
        <w:ind w:left="11" w:right="0" w:firstLine="556"/>
        <w:rPr>
          <w:rFonts w:ascii="Arial" w:hAnsi="Arial" w:cs="Arial"/>
        </w:rPr>
      </w:pPr>
      <w:r w:rsidRPr="00A35EF1">
        <w:rPr>
          <w:rFonts w:ascii="Arial" w:hAnsi="Arial" w:cs="Arial"/>
        </w:rPr>
        <w:t xml:space="preserve"> </w:t>
      </w:r>
      <w:r w:rsidRPr="00A35EF1">
        <w:rPr>
          <w:rFonts w:ascii="Arial" w:hAnsi="Arial" w:cs="Arial"/>
          <w:b/>
        </w:rPr>
        <w:t>Dentro de los tres meses siguientes a la fecha</w:t>
      </w:r>
      <w:r w:rsidRPr="00A35EF1">
        <w:rPr>
          <w:rFonts w:ascii="Arial" w:hAnsi="Arial" w:cs="Arial"/>
        </w:rPr>
        <w:t xml:space="preserve"> en la que se produzcan se comunicarán modificaciones, </w:t>
      </w:r>
      <w:r w:rsidRPr="00A35EF1">
        <w:rPr>
          <w:rFonts w:ascii="Arial" w:hAnsi="Arial" w:cs="Arial"/>
          <w:u w:val="single"/>
        </w:rPr>
        <w:t>prórrogas o variaciones de plazos, la alteración de los importes de los compromisos económicos asumidos y la extinción de los conven</w:t>
      </w:r>
      <w:r w:rsidRPr="00A35EF1">
        <w:rPr>
          <w:rFonts w:ascii="Arial" w:hAnsi="Arial" w:cs="Arial"/>
        </w:rPr>
        <w:t xml:space="preserve">ios anteriormente indicados, remitiendo los respectivos documentos de aprobación y, en su caso, de formalización. </w:t>
      </w:r>
    </w:p>
    <w:p w:rsidR="00306294" w:rsidRDefault="009D6E73" w:rsidP="00A35EF1">
      <w:pPr>
        <w:spacing w:after="120" w:line="250" w:lineRule="auto"/>
        <w:ind w:left="11" w:right="0" w:firstLine="556"/>
        <w:rPr>
          <w:rFonts w:ascii="Arial" w:hAnsi="Arial" w:cs="Arial"/>
          <w:b/>
        </w:rPr>
      </w:pPr>
      <w:r w:rsidRPr="00A35EF1">
        <w:rPr>
          <w:rFonts w:ascii="Arial" w:hAnsi="Arial" w:cs="Arial"/>
        </w:rPr>
        <w:t>Asimismo</w:t>
      </w:r>
      <w:r w:rsidR="00A35EF1">
        <w:rPr>
          <w:rFonts w:ascii="Arial" w:hAnsi="Arial" w:cs="Arial"/>
        </w:rPr>
        <w:t>,</w:t>
      </w:r>
      <w:r w:rsidRPr="00A35EF1">
        <w:rPr>
          <w:rFonts w:ascii="Arial" w:hAnsi="Arial" w:cs="Arial"/>
        </w:rPr>
        <w:t xml:space="preserve"> se enviarán los </w:t>
      </w:r>
      <w:r w:rsidRPr="00A35EF1">
        <w:rPr>
          <w:rFonts w:ascii="Arial" w:hAnsi="Arial" w:cs="Arial"/>
          <w:b/>
        </w:rPr>
        <w:t xml:space="preserve">convenios que, por su importe, no hubieran sido remitidos en </w:t>
      </w:r>
      <w:r w:rsidR="0035489D">
        <w:rPr>
          <w:rFonts w:ascii="Arial" w:hAnsi="Arial" w:cs="Arial"/>
          <w:b/>
        </w:rPr>
        <w:t xml:space="preserve"> </w:t>
      </w:r>
      <w:r w:rsidRPr="00A35EF1">
        <w:rPr>
          <w:rFonts w:ascii="Arial" w:hAnsi="Arial" w:cs="Arial"/>
          <w:b/>
        </w:rPr>
        <w:t>cumplimiento</w:t>
      </w:r>
      <w:r w:rsidR="0035489D">
        <w:rPr>
          <w:rFonts w:ascii="Arial" w:hAnsi="Arial" w:cs="Arial"/>
          <w:b/>
        </w:rPr>
        <w:t xml:space="preserve"> </w:t>
      </w:r>
      <w:r w:rsidRPr="00A35EF1">
        <w:rPr>
          <w:rFonts w:ascii="Arial" w:hAnsi="Arial" w:cs="Arial"/>
          <w:b/>
        </w:rPr>
        <w:t xml:space="preserve"> </w:t>
      </w:r>
      <w:r w:rsidR="0035489D">
        <w:rPr>
          <w:rFonts w:ascii="Arial" w:hAnsi="Arial" w:cs="Arial"/>
          <w:b/>
        </w:rPr>
        <w:t xml:space="preserve"> </w:t>
      </w:r>
      <w:r w:rsidRPr="00A35EF1">
        <w:rPr>
          <w:rFonts w:ascii="Arial" w:hAnsi="Arial" w:cs="Arial"/>
          <w:b/>
        </w:rPr>
        <w:t xml:space="preserve">del </w:t>
      </w:r>
      <w:r w:rsidR="0035489D">
        <w:rPr>
          <w:rFonts w:ascii="Arial" w:hAnsi="Arial" w:cs="Arial"/>
          <w:b/>
        </w:rPr>
        <w:t xml:space="preserve">  </w:t>
      </w:r>
      <w:r w:rsidRPr="00A35EF1">
        <w:rPr>
          <w:rFonts w:ascii="Arial" w:hAnsi="Arial" w:cs="Arial"/>
          <w:b/>
        </w:rPr>
        <w:t>artículo</w:t>
      </w:r>
      <w:r w:rsidR="0035489D">
        <w:rPr>
          <w:rFonts w:ascii="Arial" w:hAnsi="Arial" w:cs="Arial"/>
          <w:b/>
        </w:rPr>
        <w:t xml:space="preserve">  </w:t>
      </w:r>
      <w:r w:rsidRPr="00A35EF1">
        <w:rPr>
          <w:rFonts w:ascii="Arial" w:hAnsi="Arial" w:cs="Arial"/>
          <w:b/>
        </w:rPr>
        <w:t xml:space="preserve"> 53.1 </w:t>
      </w:r>
      <w:r w:rsidR="0035489D">
        <w:rPr>
          <w:rFonts w:ascii="Arial" w:hAnsi="Arial" w:cs="Arial"/>
          <w:b/>
        </w:rPr>
        <w:t xml:space="preserve">  </w:t>
      </w:r>
      <w:r w:rsidRPr="00A35EF1">
        <w:rPr>
          <w:rFonts w:ascii="Arial" w:hAnsi="Arial" w:cs="Arial"/>
          <w:b/>
        </w:rPr>
        <w:t>de</w:t>
      </w:r>
      <w:r w:rsidR="0035489D">
        <w:rPr>
          <w:rFonts w:ascii="Arial" w:hAnsi="Arial" w:cs="Arial"/>
          <w:b/>
        </w:rPr>
        <w:t xml:space="preserve">  </w:t>
      </w:r>
      <w:r w:rsidRPr="00A35EF1">
        <w:rPr>
          <w:rFonts w:ascii="Arial" w:hAnsi="Arial" w:cs="Arial"/>
          <w:b/>
        </w:rPr>
        <w:t xml:space="preserve"> la </w:t>
      </w:r>
      <w:r w:rsidR="0035489D">
        <w:rPr>
          <w:rFonts w:ascii="Arial" w:hAnsi="Arial" w:cs="Arial"/>
          <w:b/>
        </w:rPr>
        <w:t xml:space="preserve">  </w:t>
      </w:r>
      <w:r w:rsidRPr="00A35EF1">
        <w:rPr>
          <w:rFonts w:ascii="Arial" w:hAnsi="Arial" w:cs="Arial"/>
          <w:b/>
        </w:rPr>
        <w:t>LRJSP</w:t>
      </w:r>
      <w:r w:rsidR="0035489D">
        <w:rPr>
          <w:rFonts w:ascii="Arial" w:hAnsi="Arial" w:cs="Arial"/>
          <w:b/>
        </w:rPr>
        <w:t xml:space="preserve">  </w:t>
      </w:r>
      <w:r w:rsidRPr="00A35EF1">
        <w:rPr>
          <w:rFonts w:ascii="Arial" w:hAnsi="Arial" w:cs="Arial"/>
        </w:rPr>
        <w:t xml:space="preserve"> y </w:t>
      </w:r>
      <w:r w:rsidR="0035489D">
        <w:rPr>
          <w:rFonts w:ascii="Arial" w:hAnsi="Arial" w:cs="Arial"/>
        </w:rPr>
        <w:t xml:space="preserve">  </w:t>
      </w:r>
      <w:r w:rsidRPr="00A35EF1">
        <w:rPr>
          <w:rFonts w:ascii="Arial" w:hAnsi="Arial" w:cs="Arial"/>
        </w:rPr>
        <w:t xml:space="preserve">que </w:t>
      </w:r>
      <w:r w:rsidR="0035489D">
        <w:rPr>
          <w:rFonts w:ascii="Arial" w:hAnsi="Arial" w:cs="Arial"/>
        </w:rPr>
        <w:t xml:space="preserve"> </w:t>
      </w:r>
      <w:r w:rsidRPr="00A35EF1">
        <w:rPr>
          <w:rFonts w:ascii="Arial" w:hAnsi="Arial" w:cs="Arial"/>
        </w:rPr>
        <w:t xml:space="preserve">hubieran </w:t>
      </w:r>
      <w:r w:rsidR="0035489D">
        <w:rPr>
          <w:rFonts w:ascii="Arial" w:hAnsi="Arial" w:cs="Arial"/>
        </w:rPr>
        <w:t xml:space="preserve">  </w:t>
      </w:r>
      <w:r w:rsidRPr="00A35EF1">
        <w:rPr>
          <w:rFonts w:ascii="Arial" w:hAnsi="Arial" w:cs="Arial"/>
        </w:rPr>
        <w:t xml:space="preserve">sido </w:t>
      </w:r>
      <w:r w:rsidR="0035489D">
        <w:rPr>
          <w:rFonts w:ascii="Arial" w:hAnsi="Arial" w:cs="Arial"/>
        </w:rPr>
        <w:t xml:space="preserve">  </w:t>
      </w:r>
      <w:r w:rsidRPr="00A35EF1">
        <w:rPr>
          <w:rFonts w:ascii="Arial" w:hAnsi="Arial" w:cs="Arial"/>
          <w:b/>
        </w:rPr>
        <w:t xml:space="preserve">objeto </w:t>
      </w:r>
      <w:r w:rsidR="0035489D">
        <w:rPr>
          <w:rFonts w:ascii="Arial" w:hAnsi="Arial" w:cs="Arial"/>
          <w:b/>
        </w:rPr>
        <w:t xml:space="preserve"> </w:t>
      </w:r>
      <w:r w:rsidRPr="00A35EF1">
        <w:rPr>
          <w:rFonts w:ascii="Arial" w:hAnsi="Arial" w:cs="Arial"/>
          <w:b/>
        </w:rPr>
        <w:t>de</w:t>
      </w:r>
    </w:p>
    <w:p w:rsidR="00306294" w:rsidRDefault="00306294" w:rsidP="00A35EF1">
      <w:pPr>
        <w:spacing w:after="120" w:line="250" w:lineRule="auto"/>
        <w:ind w:left="11" w:right="0" w:firstLine="556"/>
        <w:rPr>
          <w:rFonts w:ascii="Arial" w:hAnsi="Arial" w:cs="Arial"/>
          <w:b/>
        </w:rPr>
      </w:pPr>
    </w:p>
    <w:p w:rsidR="0035489D" w:rsidRDefault="009D6E73" w:rsidP="00A35EF1">
      <w:pPr>
        <w:spacing w:after="120" w:line="250" w:lineRule="auto"/>
        <w:ind w:left="11" w:right="0" w:firstLine="556"/>
        <w:rPr>
          <w:rFonts w:ascii="Arial" w:hAnsi="Arial" w:cs="Arial"/>
          <w:b/>
        </w:rPr>
      </w:pPr>
      <w:r w:rsidRPr="00A35EF1">
        <w:rPr>
          <w:rFonts w:ascii="Arial" w:hAnsi="Arial" w:cs="Arial"/>
          <w:b/>
        </w:rPr>
        <w:t xml:space="preserve"> </w:t>
      </w:r>
    </w:p>
    <w:p w:rsidR="0035489D" w:rsidRDefault="0035489D" w:rsidP="00A35EF1">
      <w:pPr>
        <w:spacing w:after="120" w:line="250" w:lineRule="auto"/>
        <w:ind w:left="11" w:right="0" w:firstLine="556"/>
        <w:rPr>
          <w:rFonts w:ascii="Arial" w:hAnsi="Arial" w:cs="Arial"/>
          <w:b/>
        </w:rPr>
      </w:pPr>
    </w:p>
    <w:p w:rsidR="0035489D" w:rsidRDefault="0035489D" w:rsidP="00A35EF1">
      <w:pPr>
        <w:spacing w:after="120" w:line="250" w:lineRule="auto"/>
        <w:ind w:left="11" w:right="0" w:firstLine="556"/>
        <w:rPr>
          <w:rFonts w:ascii="Arial" w:hAnsi="Arial" w:cs="Arial"/>
          <w:b/>
        </w:rPr>
      </w:pPr>
    </w:p>
    <w:p w:rsidR="00295FCC" w:rsidRPr="00A35EF1" w:rsidRDefault="009D6E73" w:rsidP="0035489D">
      <w:pPr>
        <w:spacing w:after="120" w:line="250" w:lineRule="auto"/>
        <w:ind w:left="11" w:right="0" w:hanging="11"/>
        <w:rPr>
          <w:rFonts w:ascii="Arial" w:hAnsi="Arial" w:cs="Arial"/>
          <w:b/>
        </w:rPr>
      </w:pPr>
      <w:r w:rsidRPr="00A35EF1">
        <w:rPr>
          <w:rFonts w:ascii="Arial" w:hAnsi="Arial" w:cs="Arial"/>
          <w:b/>
        </w:rPr>
        <w:t>modificaciones posteriores</w:t>
      </w:r>
      <w:r w:rsidRPr="00A35EF1">
        <w:rPr>
          <w:rFonts w:ascii="Arial" w:hAnsi="Arial" w:cs="Arial"/>
        </w:rPr>
        <w:t xml:space="preserve"> a su celebración, cuando, aislada o conjuntamente, </w:t>
      </w:r>
      <w:r w:rsidRPr="00A35EF1">
        <w:rPr>
          <w:rFonts w:ascii="Arial" w:hAnsi="Arial" w:cs="Arial"/>
          <w:b/>
        </w:rPr>
        <w:t xml:space="preserve">eleven los compromisos económicos asumidos por encima de los 600.000 €. </w:t>
      </w:r>
    </w:p>
    <w:p w:rsidR="00295FCC" w:rsidRPr="00A35EF1" w:rsidRDefault="009D6E73" w:rsidP="00A35EF1">
      <w:pPr>
        <w:spacing w:after="120" w:line="250" w:lineRule="auto"/>
        <w:ind w:left="11" w:right="0" w:firstLine="556"/>
        <w:rPr>
          <w:rFonts w:ascii="Arial" w:hAnsi="Arial" w:cs="Arial"/>
        </w:rPr>
      </w:pPr>
      <w:r w:rsidRPr="00A35EF1">
        <w:rPr>
          <w:rFonts w:ascii="Arial" w:hAnsi="Arial" w:cs="Arial"/>
        </w:rPr>
        <w:t xml:space="preserve"> 2.- Documentación a remitir una vez </w:t>
      </w:r>
      <w:r w:rsidRPr="00533120">
        <w:rPr>
          <w:rFonts w:ascii="Arial" w:hAnsi="Arial" w:cs="Arial"/>
          <w:b/>
        </w:rPr>
        <w:t>concluido el ejercicio correspondiente</w:t>
      </w:r>
      <w:r w:rsidRPr="00A35EF1">
        <w:rPr>
          <w:rFonts w:ascii="Arial" w:hAnsi="Arial" w:cs="Arial"/>
        </w:rPr>
        <w:t xml:space="preserve">: </w:t>
      </w:r>
      <w:r w:rsidR="00533120" w:rsidRPr="00533120">
        <w:rPr>
          <w:rFonts w:ascii="Arial" w:hAnsi="Arial" w:cs="Arial"/>
          <w:b/>
        </w:rPr>
        <w:t>a</w:t>
      </w:r>
      <w:r w:rsidR="003A36BA">
        <w:rPr>
          <w:rFonts w:ascii="Arial" w:hAnsi="Arial" w:cs="Arial"/>
          <w:b/>
        </w:rPr>
        <w:t xml:space="preserve">nualmente, </w:t>
      </w:r>
      <w:r w:rsidRPr="00533120">
        <w:rPr>
          <w:rFonts w:ascii="Arial" w:hAnsi="Arial" w:cs="Arial"/>
          <w:b/>
        </w:rPr>
        <w:t>antes de que concluya el mes de febrero</w:t>
      </w:r>
      <w:r w:rsidRPr="00A35EF1">
        <w:rPr>
          <w:rFonts w:ascii="Arial" w:hAnsi="Arial" w:cs="Arial"/>
        </w:rPr>
        <w:t xml:space="preserve">, una </w:t>
      </w:r>
      <w:r w:rsidRPr="00533120">
        <w:rPr>
          <w:rFonts w:ascii="Arial" w:hAnsi="Arial" w:cs="Arial"/>
          <w:u w:val="single"/>
        </w:rPr>
        <w:t>relación certificada comprensiva de los convenios formalizados en el ejercicio anterior</w:t>
      </w:r>
      <w:r w:rsidR="0086209C">
        <w:rPr>
          <w:rFonts w:ascii="Arial" w:hAnsi="Arial" w:cs="Arial"/>
          <w:u w:val="single"/>
        </w:rPr>
        <w:t xml:space="preserve"> </w:t>
      </w:r>
      <w:r w:rsidRPr="00533120">
        <w:rPr>
          <w:rFonts w:ascii="Arial" w:hAnsi="Arial" w:cs="Arial"/>
          <w:b/>
        </w:rPr>
        <w:t>(cualquiera que sea su importe),</w:t>
      </w:r>
      <w:r w:rsidRPr="00A35EF1">
        <w:rPr>
          <w:rFonts w:ascii="Arial" w:hAnsi="Arial" w:cs="Arial"/>
        </w:rPr>
        <w:t xml:space="preserve"> aun cuando las actuaciones a realizar por las </w:t>
      </w:r>
      <w:r w:rsidR="0086209C" w:rsidRPr="00A35EF1">
        <w:rPr>
          <w:rFonts w:ascii="Arial" w:hAnsi="Arial" w:cs="Arial"/>
        </w:rPr>
        <w:t>entidades firmantes</w:t>
      </w:r>
      <w:r w:rsidRPr="00A35EF1">
        <w:rPr>
          <w:rFonts w:ascii="Arial" w:hAnsi="Arial" w:cs="Arial"/>
        </w:rPr>
        <w:t xml:space="preserve"> para su cumplimiento se llevaran a cabo en los ejercicios siguientes. </w:t>
      </w:r>
    </w:p>
    <w:p w:rsidR="00295FCC" w:rsidRPr="00A35EF1" w:rsidRDefault="009D6E73" w:rsidP="00A35EF1">
      <w:pPr>
        <w:spacing w:after="120" w:line="250" w:lineRule="auto"/>
        <w:ind w:left="11" w:right="0" w:firstLine="556"/>
        <w:rPr>
          <w:rFonts w:ascii="Arial" w:hAnsi="Arial" w:cs="Arial"/>
        </w:rPr>
      </w:pPr>
      <w:r w:rsidRPr="00A35EF1">
        <w:rPr>
          <w:rFonts w:ascii="Arial" w:hAnsi="Arial" w:cs="Arial"/>
        </w:rPr>
        <w:t xml:space="preserve"> En el supuesto de que </w:t>
      </w:r>
      <w:r w:rsidRPr="007203FA">
        <w:rPr>
          <w:rFonts w:ascii="Arial" w:hAnsi="Arial" w:cs="Arial"/>
          <w:u w:val="single"/>
        </w:rPr>
        <w:t>no se hubiesen celebrado convenios,</w:t>
      </w:r>
      <w:r w:rsidRPr="00A35EF1">
        <w:rPr>
          <w:rFonts w:ascii="Arial" w:hAnsi="Arial" w:cs="Arial"/>
        </w:rPr>
        <w:t xml:space="preserve"> se hará constar dicha circunstancia mediante la comunicación negativa </w:t>
      </w:r>
    </w:p>
    <w:p w:rsidR="00295FCC" w:rsidRPr="007203FA" w:rsidRDefault="009D6E73" w:rsidP="00A35EF1">
      <w:pPr>
        <w:spacing w:after="120" w:line="250" w:lineRule="auto"/>
        <w:ind w:left="11" w:right="0" w:firstLine="556"/>
        <w:rPr>
          <w:rFonts w:ascii="Arial" w:hAnsi="Arial" w:cs="Arial"/>
          <w:b/>
        </w:rPr>
      </w:pPr>
      <w:r w:rsidRPr="007203FA">
        <w:rPr>
          <w:rFonts w:ascii="Arial" w:hAnsi="Arial" w:cs="Arial"/>
          <w:b/>
          <w:u w:val="single"/>
        </w:rPr>
        <w:t xml:space="preserve"> AVISO</w:t>
      </w:r>
      <w:r w:rsidRPr="00A35EF1">
        <w:rPr>
          <w:rFonts w:ascii="Arial" w:hAnsi="Arial" w:cs="Arial"/>
        </w:rPr>
        <w:t xml:space="preserve">: La Plataforma de Rendición de Cuentas está operativa para la remisión por las entidades locales de la </w:t>
      </w:r>
      <w:r w:rsidRPr="007203FA">
        <w:rPr>
          <w:rFonts w:ascii="Arial" w:hAnsi="Arial" w:cs="Arial"/>
          <w:u w:val="single"/>
        </w:rPr>
        <w:t>relación certificada de los convenios formalizados en el ejercicio 202</w:t>
      </w:r>
      <w:r w:rsidR="007203FA">
        <w:rPr>
          <w:rFonts w:ascii="Arial" w:hAnsi="Arial" w:cs="Arial"/>
          <w:u w:val="single"/>
        </w:rPr>
        <w:t>3</w:t>
      </w:r>
      <w:r w:rsidRPr="00A35EF1">
        <w:rPr>
          <w:rFonts w:ascii="Arial" w:hAnsi="Arial" w:cs="Arial"/>
        </w:rPr>
        <w:t xml:space="preserve">. En caso de no haberse celebrado ninguno, se deberá remitir una certificación negativa </w:t>
      </w:r>
      <w:r w:rsidRPr="007203FA">
        <w:rPr>
          <w:rFonts w:ascii="Arial" w:hAnsi="Arial" w:cs="Arial"/>
          <w:b/>
        </w:rPr>
        <w:t>(</w:t>
      </w:r>
      <w:r w:rsidR="006859E2">
        <w:rPr>
          <w:rFonts w:ascii="Arial" w:hAnsi="Arial" w:cs="Arial"/>
          <w:b/>
        </w:rPr>
        <w:t>Plazo:</w:t>
      </w:r>
      <w:r w:rsidRPr="007203FA">
        <w:rPr>
          <w:rFonts w:ascii="Arial" w:hAnsi="Arial" w:cs="Arial"/>
          <w:b/>
        </w:rPr>
        <w:t xml:space="preserve"> antes de que concluya el mes de febrero 2023)</w:t>
      </w:r>
      <w:r w:rsidR="007203FA">
        <w:rPr>
          <w:rFonts w:ascii="Arial" w:hAnsi="Arial" w:cs="Arial"/>
          <w:b/>
        </w:rPr>
        <w:t>.</w:t>
      </w:r>
      <w:r w:rsidRPr="007203FA">
        <w:rPr>
          <w:rFonts w:ascii="Arial" w:hAnsi="Arial" w:cs="Arial"/>
          <w:b/>
        </w:rPr>
        <w:t xml:space="preserve"> </w:t>
      </w:r>
    </w:p>
    <w:p w:rsidR="004C08D1" w:rsidRDefault="009D6E73" w:rsidP="00A35EF1">
      <w:pPr>
        <w:spacing w:after="120" w:line="250" w:lineRule="auto"/>
        <w:ind w:left="11" w:right="0" w:firstLine="556"/>
        <w:rPr>
          <w:rFonts w:ascii="Arial" w:hAnsi="Arial" w:cs="Arial"/>
        </w:rPr>
      </w:pPr>
      <w:r w:rsidRPr="00A35EF1">
        <w:rPr>
          <w:rFonts w:ascii="Arial" w:hAnsi="Arial" w:cs="Arial"/>
        </w:rPr>
        <w:t xml:space="preserve"> </w:t>
      </w:r>
      <w:r w:rsidRPr="004C08D1">
        <w:rPr>
          <w:rFonts w:ascii="Arial" w:hAnsi="Arial" w:cs="Arial"/>
          <w:b/>
        </w:rPr>
        <w:t>N</w:t>
      </w:r>
      <w:r w:rsidR="004C08D1" w:rsidRPr="004C08D1">
        <w:rPr>
          <w:rFonts w:ascii="Arial" w:hAnsi="Arial" w:cs="Arial"/>
          <w:b/>
        </w:rPr>
        <w:t>ota</w:t>
      </w:r>
      <w:r w:rsidR="004C08D1">
        <w:rPr>
          <w:rFonts w:ascii="Arial" w:hAnsi="Arial" w:cs="Arial"/>
        </w:rPr>
        <w:t>:</w:t>
      </w:r>
    </w:p>
    <w:p w:rsidR="00295FCC" w:rsidRPr="00A35EF1" w:rsidRDefault="009D6E73" w:rsidP="004C08D1">
      <w:pPr>
        <w:pStyle w:val="Prrafodelista"/>
        <w:numPr>
          <w:ilvl w:val="0"/>
          <w:numId w:val="23"/>
        </w:numPr>
        <w:spacing w:after="120" w:line="250" w:lineRule="auto"/>
        <w:ind w:right="0"/>
        <w:contextualSpacing w:val="0"/>
        <w:rPr>
          <w:rFonts w:ascii="Arial" w:hAnsi="Arial" w:cs="Arial"/>
        </w:rPr>
      </w:pPr>
      <w:r w:rsidRPr="00A35EF1">
        <w:rPr>
          <w:rFonts w:ascii="Arial" w:hAnsi="Arial" w:cs="Arial"/>
        </w:rPr>
        <w:t xml:space="preserve">Cuantía de los convenios: se entenderá por compromisos económicos asumidos a los que se refiere el artículo 53.1 de la LRJSP, el importe total de las aportaciones financieras que se comprometan a realizar el conjunto de los sujetos que suscriben el convenio, independientemente de la aportación que corresponda a la entidad local remitente de la documentación.  </w:t>
      </w:r>
    </w:p>
    <w:p w:rsidR="00295FCC" w:rsidRDefault="004C08D1" w:rsidP="004C08D1">
      <w:pPr>
        <w:pStyle w:val="Prrafodelista"/>
        <w:numPr>
          <w:ilvl w:val="0"/>
          <w:numId w:val="23"/>
        </w:numPr>
        <w:spacing w:after="360" w:line="250" w:lineRule="auto"/>
        <w:ind w:left="924" w:right="0" w:hanging="357"/>
        <w:contextualSpacing w:val="0"/>
        <w:rPr>
          <w:rFonts w:ascii="Arial" w:hAnsi="Arial" w:cs="Arial"/>
        </w:rPr>
      </w:pPr>
      <w:r>
        <w:rPr>
          <w:rFonts w:ascii="Arial" w:hAnsi="Arial" w:cs="Arial"/>
        </w:rPr>
        <w:t xml:space="preserve"> </w:t>
      </w:r>
      <w:r w:rsidR="009D6E73" w:rsidRPr="00A35EF1">
        <w:rPr>
          <w:rFonts w:ascii="Arial" w:hAnsi="Arial" w:cs="Arial"/>
        </w:rPr>
        <w:t xml:space="preserve">Para uniformar el criterio a seguir en la inclusión de los convenios en la relación anual se atenderá al año de su formalización, por lo que la relación certificada deberá comprender todos aquellos convenios que hubieran sido formalizados en el ejercicio de referencia, aun cuando las actuaciones a realizar por las entidades firmantes para su cumplimiento se llevaran a cabo en los ejercicios siguientes. </w:t>
      </w:r>
    </w:p>
    <w:p w:rsidR="00B22051" w:rsidRPr="00B22051" w:rsidRDefault="00B22051" w:rsidP="00B22051">
      <w:pPr>
        <w:numPr>
          <w:ilvl w:val="0"/>
          <w:numId w:val="20"/>
        </w:numPr>
        <w:spacing w:after="120" w:line="250" w:lineRule="auto"/>
        <w:ind w:left="584" w:right="0" w:hanging="357"/>
        <w:rPr>
          <w:rFonts w:ascii="Arial" w:hAnsi="Arial" w:cs="Arial"/>
          <w:b/>
        </w:rPr>
      </w:pPr>
      <w:r>
        <w:rPr>
          <w:rFonts w:ascii="Arial" w:hAnsi="Arial" w:cs="Arial"/>
          <w:b/>
        </w:rPr>
        <w:t>REPAROS</w:t>
      </w:r>
    </w:p>
    <w:p w:rsidR="00295FCC" w:rsidRPr="00B22051" w:rsidRDefault="009D6E73" w:rsidP="00B22051">
      <w:pPr>
        <w:spacing w:after="120" w:line="250" w:lineRule="auto"/>
        <w:ind w:left="11" w:right="0" w:firstLine="556"/>
        <w:rPr>
          <w:rFonts w:ascii="Arial" w:hAnsi="Arial" w:cs="Arial"/>
        </w:rPr>
      </w:pPr>
      <w:r>
        <w:rPr>
          <w:b/>
        </w:rPr>
        <w:t xml:space="preserve"> </w:t>
      </w:r>
      <w:r>
        <w:rPr>
          <w:b/>
        </w:rPr>
        <w:tab/>
      </w:r>
      <w:r w:rsidRPr="00B22051">
        <w:rPr>
          <w:rFonts w:ascii="Arial" w:hAnsi="Arial" w:cs="Arial"/>
        </w:rPr>
        <w:t xml:space="preserve">Obligación de remitir la información a la que se refiere el </w:t>
      </w:r>
      <w:r w:rsidRPr="00B22051">
        <w:rPr>
          <w:rFonts w:ascii="Arial" w:hAnsi="Arial" w:cs="Arial"/>
          <w:b/>
        </w:rPr>
        <w:t>artículo 218.3 del TRLRHL</w:t>
      </w:r>
      <w:r w:rsidR="0086209C" w:rsidRPr="00B22051">
        <w:rPr>
          <w:rFonts w:ascii="Arial" w:hAnsi="Arial" w:cs="Arial"/>
        </w:rPr>
        <w:t>.</w:t>
      </w:r>
    </w:p>
    <w:p w:rsidR="00295FCC" w:rsidRPr="00B22051" w:rsidRDefault="009D6E73" w:rsidP="00B22051">
      <w:pPr>
        <w:spacing w:after="120" w:line="250" w:lineRule="auto"/>
        <w:ind w:left="11" w:right="0" w:firstLine="556"/>
        <w:rPr>
          <w:rFonts w:ascii="Arial" w:hAnsi="Arial" w:cs="Arial"/>
        </w:rPr>
      </w:pPr>
      <w:r w:rsidRPr="00B22051">
        <w:rPr>
          <w:rFonts w:ascii="Arial" w:hAnsi="Arial" w:cs="Arial"/>
        </w:rPr>
        <w:t xml:space="preserve"> Resolución de 10 de julio de 2015, de la Presidencia del Tribunal de Cuentas, por la que se publica el Acuerdo del Pleno de 30 de junio de 2015, por el que se aprueba la Instrucción que regula la remisión telemática de información sobre acuerdos y resoluciones de las entidades locales contrarios a reparos formulados por interventores locales y anomalías detectadas en materia de ingresos, así como sobre acuerdos adoptados con omisión del trámite de fiscalización previa.</w:t>
      </w:r>
    </w:p>
    <w:p w:rsidR="00295FCC" w:rsidRPr="00B22051" w:rsidRDefault="009D6E73" w:rsidP="00B22051">
      <w:pPr>
        <w:spacing w:after="120" w:line="250" w:lineRule="auto"/>
        <w:ind w:left="11" w:right="0" w:firstLine="556"/>
        <w:rPr>
          <w:rFonts w:ascii="Arial" w:hAnsi="Arial" w:cs="Arial"/>
        </w:rPr>
      </w:pPr>
      <w:r w:rsidRPr="00B22051">
        <w:rPr>
          <w:rFonts w:ascii="Arial" w:hAnsi="Arial" w:cs="Arial"/>
        </w:rPr>
        <w:t xml:space="preserve"> </w:t>
      </w:r>
      <w:r w:rsidRPr="00B22051">
        <w:rPr>
          <w:rFonts w:ascii="Arial" w:hAnsi="Arial" w:cs="Arial"/>
        </w:rPr>
        <w:tab/>
        <w:t xml:space="preserve"> Resolución de 15 de enero de 2020, de la Presidencia del Tribunal de Cuentas, por la que se publica el Acuerdo del Pleno de 19 de diciembre de 2019, por el que se aprueba la Instrucción sobre remisión de información relativa al ejercicio del control interno de las Entidades Locales. (B.O.E. 17-01-2020). </w:t>
      </w:r>
    </w:p>
    <w:p w:rsidR="00CA2AC1" w:rsidRDefault="009D6E73" w:rsidP="00B22051">
      <w:pPr>
        <w:spacing w:after="120" w:line="250" w:lineRule="auto"/>
        <w:ind w:left="11" w:right="0" w:firstLine="556"/>
        <w:rPr>
          <w:rFonts w:ascii="Arial" w:hAnsi="Arial" w:cs="Arial"/>
        </w:rPr>
      </w:pPr>
      <w:r w:rsidRPr="00B22051">
        <w:rPr>
          <w:rFonts w:ascii="Arial" w:hAnsi="Arial" w:cs="Arial"/>
        </w:rPr>
        <w:t xml:space="preserve">   Ello se debe, fundamentalmente, a la entrada en vigor del Real Decreto 424/2017 (Régimen jurídico de control interno de las entidades del Sector Público Local), que en el ámbito del control interno incorporó la determinación del perímetro del control interno en la entidad local, la definición de los derechos y deberes del órgano de control como garantía de su autonomía y suficiencia, desarrollo del procedimiento de resolución de discrepa</w:t>
      </w:r>
      <w:r w:rsidR="00B22051">
        <w:rPr>
          <w:rFonts w:ascii="Arial" w:hAnsi="Arial" w:cs="Arial"/>
        </w:rPr>
        <w:t xml:space="preserve">ncias, regulación de la omisión </w:t>
      </w:r>
      <w:r w:rsidRPr="00B22051">
        <w:rPr>
          <w:rFonts w:ascii="Arial" w:hAnsi="Arial" w:cs="Arial"/>
        </w:rPr>
        <w:t>de fiscalización previa, desarrollo del contenido y ejercicio del control financiero, en</w:t>
      </w:r>
      <w:r w:rsidR="00306294">
        <w:rPr>
          <w:rFonts w:ascii="Arial" w:hAnsi="Arial" w:cs="Arial"/>
        </w:rPr>
        <w:t xml:space="preserve"> </w:t>
      </w:r>
      <w:r w:rsidRPr="00B22051">
        <w:rPr>
          <w:rFonts w:ascii="Arial" w:hAnsi="Arial" w:cs="Arial"/>
        </w:rPr>
        <w:t xml:space="preserve"> sus</w:t>
      </w:r>
      <w:r w:rsidR="00306294">
        <w:rPr>
          <w:rFonts w:ascii="Arial" w:hAnsi="Arial" w:cs="Arial"/>
        </w:rPr>
        <w:t xml:space="preserve"> </w:t>
      </w:r>
      <w:r w:rsidRPr="00B22051">
        <w:rPr>
          <w:rFonts w:ascii="Arial" w:hAnsi="Arial" w:cs="Arial"/>
        </w:rPr>
        <w:t xml:space="preserve"> </w:t>
      </w:r>
      <w:r w:rsidR="00306294">
        <w:rPr>
          <w:rFonts w:ascii="Arial" w:hAnsi="Arial" w:cs="Arial"/>
        </w:rPr>
        <w:t xml:space="preserve"> </w:t>
      </w:r>
      <w:r w:rsidRPr="00B22051">
        <w:rPr>
          <w:rFonts w:ascii="Arial" w:hAnsi="Arial" w:cs="Arial"/>
        </w:rPr>
        <w:t xml:space="preserve">modalidades </w:t>
      </w:r>
      <w:r w:rsidR="00306294">
        <w:rPr>
          <w:rFonts w:ascii="Arial" w:hAnsi="Arial" w:cs="Arial"/>
        </w:rPr>
        <w:t xml:space="preserve">  </w:t>
      </w:r>
      <w:r w:rsidRPr="00B22051">
        <w:rPr>
          <w:rFonts w:ascii="Arial" w:hAnsi="Arial" w:cs="Arial"/>
        </w:rPr>
        <w:t xml:space="preserve">de </w:t>
      </w:r>
      <w:r w:rsidR="00306294">
        <w:rPr>
          <w:rFonts w:ascii="Arial" w:hAnsi="Arial" w:cs="Arial"/>
        </w:rPr>
        <w:t xml:space="preserve">  </w:t>
      </w:r>
      <w:r w:rsidRPr="00B22051">
        <w:rPr>
          <w:rFonts w:ascii="Arial" w:hAnsi="Arial" w:cs="Arial"/>
        </w:rPr>
        <w:t>control</w:t>
      </w:r>
      <w:r w:rsidR="00306294">
        <w:rPr>
          <w:rFonts w:ascii="Arial" w:hAnsi="Arial" w:cs="Arial"/>
        </w:rPr>
        <w:t xml:space="preserve"> </w:t>
      </w:r>
      <w:r w:rsidRPr="00B22051">
        <w:rPr>
          <w:rFonts w:ascii="Arial" w:hAnsi="Arial" w:cs="Arial"/>
        </w:rPr>
        <w:t xml:space="preserve"> </w:t>
      </w:r>
      <w:r w:rsidR="00306294">
        <w:rPr>
          <w:rFonts w:ascii="Arial" w:hAnsi="Arial" w:cs="Arial"/>
        </w:rPr>
        <w:t xml:space="preserve"> </w:t>
      </w:r>
      <w:r w:rsidRPr="00B22051">
        <w:rPr>
          <w:rFonts w:ascii="Arial" w:hAnsi="Arial" w:cs="Arial"/>
        </w:rPr>
        <w:t>permanente</w:t>
      </w:r>
      <w:r w:rsidR="00306294">
        <w:rPr>
          <w:rFonts w:ascii="Arial" w:hAnsi="Arial" w:cs="Arial"/>
        </w:rPr>
        <w:t xml:space="preserve"> </w:t>
      </w:r>
      <w:r w:rsidRPr="00B22051">
        <w:rPr>
          <w:rFonts w:ascii="Arial" w:hAnsi="Arial" w:cs="Arial"/>
        </w:rPr>
        <w:t xml:space="preserve"> </w:t>
      </w:r>
      <w:r w:rsidR="00306294">
        <w:rPr>
          <w:rFonts w:ascii="Arial" w:hAnsi="Arial" w:cs="Arial"/>
        </w:rPr>
        <w:t xml:space="preserve"> </w:t>
      </w:r>
      <w:r w:rsidRPr="00B22051">
        <w:rPr>
          <w:rFonts w:ascii="Arial" w:hAnsi="Arial" w:cs="Arial"/>
        </w:rPr>
        <w:t>y</w:t>
      </w:r>
      <w:r w:rsidR="00306294">
        <w:rPr>
          <w:rFonts w:ascii="Arial" w:hAnsi="Arial" w:cs="Arial"/>
        </w:rPr>
        <w:t xml:space="preserve">  </w:t>
      </w:r>
      <w:r w:rsidRPr="00B22051">
        <w:rPr>
          <w:rFonts w:ascii="Arial" w:hAnsi="Arial" w:cs="Arial"/>
        </w:rPr>
        <w:t xml:space="preserve"> auditoría </w:t>
      </w:r>
      <w:r w:rsidR="00306294">
        <w:rPr>
          <w:rFonts w:ascii="Arial" w:hAnsi="Arial" w:cs="Arial"/>
        </w:rPr>
        <w:t xml:space="preserve">  </w:t>
      </w:r>
      <w:r w:rsidRPr="00B22051">
        <w:rPr>
          <w:rFonts w:ascii="Arial" w:hAnsi="Arial" w:cs="Arial"/>
        </w:rPr>
        <w:t xml:space="preserve">pública, </w:t>
      </w:r>
      <w:r w:rsidR="00306294">
        <w:rPr>
          <w:rFonts w:ascii="Arial" w:hAnsi="Arial" w:cs="Arial"/>
        </w:rPr>
        <w:t xml:space="preserve">  </w:t>
      </w:r>
      <w:r w:rsidRPr="00B22051">
        <w:rPr>
          <w:rFonts w:ascii="Arial" w:hAnsi="Arial" w:cs="Arial"/>
        </w:rPr>
        <w:t>y</w:t>
      </w:r>
      <w:r w:rsidR="00306294">
        <w:rPr>
          <w:rFonts w:ascii="Arial" w:hAnsi="Arial" w:cs="Arial"/>
        </w:rPr>
        <w:t xml:space="preserve"> </w:t>
      </w:r>
      <w:r w:rsidRPr="00B22051">
        <w:rPr>
          <w:rFonts w:ascii="Arial" w:hAnsi="Arial" w:cs="Arial"/>
        </w:rPr>
        <w:t xml:space="preserve"> </w:t>
      </w:r>
      <w:r w:rsidR="00306294">
        <w:rPr>
          <w:rFonts w:ascii="Arial" w:hAnsi="Arial" w:cs="Arial"/>
        </w:rPr>
        <w:t xml:space="preserve"> </w:t>
      </w:r>
      <w:r w:rsidRPr="00B22051">
        <w:rPr>
          <w:rFonts w:ascii="Arial" w:hAnsi="Arial" w:cs="Arial"/>
        </w:rPr>
        <w:t xml:space="preserve">la </w:t>
      </w:r>
      <w:r w:rsidR="00306294">
        <w:rPr>
          <w:rFonts w:ascii="Arial" w:hAnsi="Arial" w:cs="Arial"/>
        </w:rPr>
        <w:t xml:space="preserve">  </w:t>
      </w:r>
      <w:r w:rsidRPr="00B22051">
        <w:rPr>
          <w:rFonts w:ascii="Arial" w:hAnsi="Arial" w:cs="Arial"/>
        </w:rPr>
        <w:t xml:space="preserve">sistematización </w:t>
      </w:r>
    </w:p>
    <w:p w:rsidR="00CA2AC1" w:rsidRDefault="00CA2AC1" w:rsidP="00B22051">
      <w:pPr>
        <w:spacing w:after="120" w:line="250" w:lineRule="auto"/>
        <w:ind w:left="11" w:right="0" w:firstLine="556"/>
        <w:rPr>
          <w:rFonts w:ascii="Arial" w:hAnsi="Arial" w:cs="Arial"/>
        </w:rPr>
      </w:pPr>
    </w:p>
    <w:p w:rsidR="00CA2AC1" w:rsidRDefault="00CA2AC1" w:rsidP="00B22051">
      <w:pPr>
        <w:spacing w:after="120" w:line="250" w:lineRule="auto"/>
        <w:ind w:left="11" w:right="0" w:firstLine="556"/>
        <w:rPr>
          <w:rFonts w:ascii="Arial" w:hAnsi="Arial" w:cs="Arial"/>
        </w:rPr>
      </w:pPr>
    </w:p>
    <w:p w:rsidR="00295FCC" w:rsidRPr="00B22051" w:rsidRDefault="009D6E73" w:rsidP="00CA2AC1">
      <w:pPr>
        <w:spacing w:after="120" w:line="250" w:lineRule="auto"/>
        <w:ind w:left="11" w:right="0" w:hanging="11"/>
        <w:rPr>
          <w:rFonts w:ascii="Arial" w:hAnsi="Arial" w:cs="Arial"/>
        </w:rPr>
      </w:pPr>
      <w:r w:rsidRPr="00B22051">
        <w:rPr>
          <w:rFonts w:ascii="Arial" w:hAnsi="Arial" w:cs="Arial"/>
        </w:rPr>
        <w:t xml:space="preserve">de los resultados del control interno. Todo ello ha aconsejado aprobar una nueva Instrucción que regule la </w:t>
      </w:r>
      <w:r w:rsidR="00B22051">
        <w:rPr>
          <w:rFonts w:ascii="Arial" w:hAnsi="Arial" w:cs="Arial"/>
        </w:rPr>
        <w:t xml:space="preserve">información que los órganos de </w:t>
      </w:r>
      <w:r w:rsidRPr="00B22051">
        <w:rPr>
          <w:rFonts w:ascii="Arial" w:hAnsi="Arial" w:cs="Arial"/>
        </w:rPr>
        <w:t xml:space="preserve">intervención local deben remitir al Tribunal de Cuentas, hecho que se ha producido el 19 de diciembre de 2019. </w:t>
      </w:r>
    </w:p>
    <w:p w:rsidR="00295FCC" w:rsidRPr="00B22051" w:rsidRDefault="009D6E73" w:rsidP="00B22051">
      <w:pPr>
        <w:spacing w:after="120" w:line="250" w:lineRule="auto"/>
        <w:ind w:left="11" w:right="0" w:firstLine="556"/>
        <w:rPr>
          <w:rFonts w:ascii="Arial" w:hAnsi="Arial" w:cs="Arial"/>
        </w:rPr>
      </w:pPr>
      <w:r w:rsidRPr="00B22051">
        <w:rPr>
          <w:rFonts w:ascii="Arial" w:hAnsi="Arial" w:cs="Arial"/>
        </w:rPr>
        <w:t xml:space="preserve"> Quedan sometidos al cumplimiento de la obligación que regula la Instrucción los órganos de intervención de las entidades locales definidas en el artículo 3 de la Ley 7/1985 reguladora de las Bases del Régimen Local. </w:t>
      </w:r>
    </w:p>
    <w:p w:rsidR="00295FCC" w:rsidRPr="00B22051" w:rsidRDefault="009D6E73" w:rsidP="00B22051">
      <w:pPr>
        <w:spacing w:after="120" w:line="250" w:lineRule="auto"/>
        <w:ind w:left="11" w:right="0" w:firstLine="556"/>
        <w:rPr>
          <w:rFonts w:ascii="Arial" w:hAnsi="Arial" w:cs="Arial"/>
        </w:rPr>
      </w:pPr>
      <w:r w:rsidRPr="00B22051">
        <w:rPr>
          <w:rFonts w:ascii="Arial" w:hAnsi="Arial" w:cs="Arial"/>
        </w:rPr>
        <w:t xml:space="preserve"> La información relativa al ejercicio del control interno que los órganos de Intervención deben rendir telemáticamente al Tribunal de Cuentas a través de la Plataforma de Rendición de Cuentas es la siguiente: </w:t>
      </w:r>
    </w:p>
    <w:p w:rsidR="00295FCC" w:rsidRPr="00B22051" w:rsidRDefault="009D6E73" w:rsidP="00B22051">
      <w:pPr>
        <w:spacing w:after="120" w:line="250" w:lineRule="auto"/>
        <w:ind w:left="11" w:right="0" w:firstLine="556"/>
        <w:rPr>
          <w:rFonts w:ascii="Arial" w:hAnsi="Arial" w:cs="Arial"/>
        </w:rPr>
      </w:pPr>
      <w:r w:rsidRPr="00B22051">
        <w:rPr>
          <w:rFonts w:ascii="Arial" w:hAnsi="Arial" w:cs="Arial"/>
          <w:b/>
        </w:rPr>
        <w:t xml:space="preserve"> 1.- Información relativa a la estructura del órgano de Intervención, configuración y ejercicio del control interno de la entidad local: </w:t>
      </w:r>
      <w:r w:rsidRPr="00B22051">
        <w:rPr>
          <w:rFonts w:ascii="Arial" w:hAnsi="Arial" w:cs="Arial"/>
        </w:rPr>
        <w:t xml:space="preserve"> </w:t>
      </w:r>
    </w:p>
    <w:p w:rsidR="00295FCC" w:rsidRPr="00B22051" w:rsidRDefault="009D6E73">
      <w:pPr>
        <w:numPr>
          <w:ilvl w:val="0"/>
          <w:numId w:val="7"/>
        </w:numPr>
        <w:ind w:right="0" w:hanging="178"/>
        <w:rPr>
          <w:rFonts w:ascii="Arial" w:hAnsi="Arial" w:cs="Arial"/>
        </w:rPr>
      </w:pPr>
      <w:r w:rsidRPr="00B22051">
        <w:rPr>
          <w:rFonts w:ascii="Arial" w:hAnsi="Arial" w:cs="Arial"/>
        </w:rPr>
        <w:t xml:space="preserve">Estructura del órgano de intervención. </w:t>
      </w:r>
    </w:p>
    <w:p w:rsidR="00295FCC" w:rsidRPr="00B22051" w:rsidRDefault="009D6E73">
      <w:pPr>
        <w:numPr>
          <w:ilvl w:val="0"/>
          <w:numId w:val="7"/>
        </w:numPr>
        <w:ind w:right="0" w:hanging="178"/>
        <w:rPr>
          <w:rFonts w:ascii="Arial" w:hAnsi="Arial" w:cs="Arial"/>
        </w:rPr>
      </w:pPr>
      <w:r w:rsidRPr="00B22051">
        <w:rPr>
          <w:rFonts w:ascii="Arial" w:hAnsi="Arial" w:cs="Arial"/>
        </w:rPr>
        <w:t xml:space="preserve">Sistema de control interno. </w:t>
      </w:r>
    </w:p>
    <w:p w:rsidR="00295FCC" w:rsidRPr="00B22051" w:rsidRDefault="009D6E73">
      <w:pPr>
        <w:numPr>
          <w:ilvl w:val="0"/>
          <w:numId w:val="7"/>
        </w:numPr>
        <w:ind w:right="0" w:hanging="178"/>
        <w:rPr>
          <w:rFonts w:ascii="Arial" w:hAnsi="Arial" w:cs="Arial"/>
        </w:rPr>
      </w:pPr>
      <w:r w:rsidRPr="00B22051">
        <w:rPr>
          <w:rFonts w:ascii="Arial" w:hAnsi="Arial" w:cs="Arial"/>
        </w:rPr>
        <w:t xml:space="preserve">Resultados del control interno. </w:t>
      </w:r>
    </w:p>
    <w:p w:rsidR="00295FCC" w:rsidRPr="00B22051" w:rsidRDefault="009D6E73" w:rsidP="00B22051">
      <w:pPr>
        <w:numPr>
          <w:ilvl w:val="0"/>
          <w:numId w:val="7"/>
        </w:numPr>
        <w:spacing w:after="240" w:line="250" w:lineRule="auto"/>
        <w:ind w:left="885" w:right="0" w:hanging="176"/>
        <w:rPr>
          <w:rFonts w:ascii="Arial" w:hAnsi="Arial" w:cs="Arial"/>
        </w:rPr>
      </w:pPr>
      <w:r w:rsidRPr="00B22051">
        <w:rPr>
          <w:rFonts w:ascii="Arial" w:hAnsi="Arial" w:cs="Arial"/>
        </w:rPr>
        <w:t xml:space="preserve">Actuaciones de control financiero. </w:t>
      </w:r>
    </w:p>
    <w:p w:rsidR="00295FCC" w:rsidRPr="00B22051" w:rsidRDefault="009D6E73" w:rsidP="001E22B7">
      <w:pPr>
        <w:spacing w:after="0" w:line="259" w:lineRule="auto"/>
        <w:ind w:left="360" w:right="0" w:firstLine="0"/>
        <w:jc w:val="left"/>
        <w:rPr>
          <w:rFonts w:ascii="Arial" w:hAnsi="Arial" w:cs="Arial"/>
        </w:rPr>
      </w:pPr>
      <w:r>
        <w:t xml:space="preserve"> </w:t>
      </w:r>
      <w:r w:rsidRPr="00B22051">
        <w:rPr>
          <w:rFonts w:ascii="Arial" w:hAnsi="Arial" w:cs="Arial"/>
        </w:rPr>
        <w:t xml:space="preserve"> </w:t>
      </w:r>
      <w:r w:rsidRPr="00B22051">
        <w:rPr>
          <w:rFonts w:ascii="Arial" w:hAnsi="Arial" w:cs="Arial"/>
          <w:b/>
        </w:rPr>
        <w:t xml:space="preserve">2.- Acuerdos de gastos contrarios a un reparo del órgano interventor: </w:t>
      </w:r>
      <w:r w:rsidRPr="00B22051">
        <w:rPr>
          <w:rFonts w:ascii="Arial" w:hAnsi="Arial" w:cs="Arial"/>
        </w:rPr>
        <w:t xml:space="preserve"> </w:t>
      </w:r>
    </w:p>
    <w:p w:rsidR="00295FCC" w:rsidRPr="00B22051" w:rsidRDefault="009D6E73" w:rsidP="00B22051">
      <w:pPr>
        <w:pStyle w:val="Prrafodelista"/>
        <w:numPr>
          <w:ilvl w:val="0"/>
          <w:numId w:val="23"/>
        </w:numPr>
        <w:spacing w:after="120" w:line="250" w:lineRule="auto"/>
        <w:ind w:left="981" w:right="0" w:hanging="357"/>
        <w:contextualSpacing w:val="0"/>
        <w:rPr>
          <w:rFonts w:ascii="Arial" w:hAnsi="Arial" w:cs="Arial"/>
        </w:rPr>
      </w:pPr>
      <w:r w:rsidRPr="00B22051">
        <w:rPr>
          <w:rFonts w:ascii="Arial" w:hAnsi="Arial" w:cs="Arial"/>
        </w:rPr>
        <w:t xml:space="preserve">Información sobre acuerdos y resoluciones adoptados en contra de reparos suspensivos y formulados por el órgano interventor. </w:t>
      </w:r>
    </w:p>
    <w:p w:rsidR="00295FCC" w:rsidRPr="00B22051" w:rsidRDefault="009D6E73" w:rsidP="00B22051">
      <w:pPr>
        <w:spacing w:after="120" w:line="250" w:lineRule="auto"/>
        <w:ind w:left="935" w:right="0" w:hanging="11"/>
        <w:rPr>
          <w:rFonts w:ascii="Arial" w:hAnsi="Arial" w:cs="Arial"/>
        </w:rPr>
      </w:pPr>
      <w:r w:rsidRPr="00B22051">
        <w:rPr>
          <w:rFonts w:ascii="Arial" w:hAnsi="Arial" w:cs="Arial"/>
        </w:rPr>
        <w:t xml:space="preserve"> Si no existieran se hará constar esa circunstancia mediante la remisión de la </w:t>
      </w:r>
      <w:r w:rsidRPr="00B22051">
        <w:rPr>
          <w:rFonts w:ascii="Arial" w:hAnsi="Arial" w:cs="Arial"/>
          <w:u w:val="single" w:color="000000"/>
        </w:rPr>
        <w:t>certificación negativa</w:t>
      </w:r>
      <w:r w:rsidRPr="00B22051">
        <w:rPr>
          <w:rFonts w:ascii="Arial" w:hAnsi="Arial" w:cs="Arial"/>
        </w:rPr>
        <w:t xml:space="preserve"> contenida en el Portal.  </w:t>
      </w:r>
    </w:p>
    <w:p w:rsidR="00295FCC" w:rsidRPr="00B22051" w:rsidRDefault="00B22051" w:rsidP="00B22051">
      <w:pPr>
        <w:pStyle w:val="Prrafodelista"/>
        <w:numPr>
          <w:ilvl w:val="0"/>
          <w:numId w:val="23"/>
        </w:numPr>
        <w:spacing w:after="120" w:line="250" w:lineRule="auto"/>
        <w:ind w:left="981" w:right="0" w:hanging="357"/>
        <w:contextualSpacing w:val="0"/>
        <w:rPr>
          <w:rFonts w:ascii="Arial" w:hAnsi="Arial" w:cs="Arial"/>
        </w:rPr>
      </w:pPr>
      <w:r w:rsidRPr="00B22051">
        <w:rPr>
          <w:rFonts w:ascii="Arial" w:hAnsi="Arial" w:cs="Arial"/>
        </w:rPr>
        <w:t xml:space="preserve"> </w:t>
      </w:r>
      <w:r w:rsidR="009D6E73" w:rsidRPr="00B22051">
        <w:rPr>
          <w:rFonts w:ascii="Arial" w:hAnsi="Arial" w:cs="Arial"/>
        </w:rPr>
        <w:t xml:space="preserve">Documentación relativa a acuerdos y resoluciones adoptados en contra de reparos suspensivos: </w:t>
      </w:r>
    </w:p>
    <w:p w:rsidR="00295FCC" w:rsidRPr="00B22051" w:rsidRDefault="009D6E73" w:rsidP="00B22051">
      <w:pPr>
        <w:pStyle w:val="Prrafodelista"/>
        <w:numPr>
          <w:ilvl w:val="0"/>
          <w:numId w:val="24"/>
        </w:numPr>
        <w:spacing w:after="0" w:line="259" w:lineRule="auto"/>
        <w:ind w:right="0"/>
        <w:jc w:val="left"/>
        <w:rPr>
          <w:rFonts w:ascii="Arial" w:hAnsi="Arial" w:cs="Arial"/>
        </w:rPr>
      </w:pPr>
      <w:r w:rsidRPr="00B22051">
        <w:rPr>
          <w:rFonts w:ascii="Arial" w:hAnsi="Arial" w:cs="Arial"/>
        </w:rPr>
        <w:t xml:space="preserve">Informe de Intervención en que se plantee el reparo. </w:t>
      </w:r>
    </w:p>
    <w:p w:rsidR="00295FCC" w:rsidRPr="00B22051" w:rsidRDefault="009D6E73" w:rsidP="00B22051">
      <w:pPr>
        <w:numPr>
          <w:ilvl w:val="0"/>
          <w:numId w:val="24"/>
        </w:numPr>
        <w:ind w:right="0"/>
        <w:rPr>
          <w:rFonts w:ascii="Arial" w:hAnsi="Arial" w:cs="Arial"/>
        </w:rPr>
      </w:pPr>
      <w:r w:rsidRPr="00B22051">
        <w:rPr>
          <w:rFonts w:ascii="Arial" w:hAnsi="Arial" w:cs="Arial"/>
        </w:rPr>
        <w:t xml:space="preserve">Informe de discrepancia del órgano gestor del gasto. </w:t>
      </w:r>
    </w:p>
    <w:p w:rsidR="00295FCC" w:rsidRPr="00B22051" w:rsidRDefault="009D6E73" w:rsidP="00B22051">
      <w:pPr>
        <w:numPr>
          <w:ilvl w:val="0"/>
          <w:numId w:val="24"/>
        </w:numPr>
        <w:ind w:right="0"/>
        <w:rPr>
          <w:rFonts w:ascii="Arial" w:hAnsi="Arial" w:cs="Arial"/>
        </w:rPr>
      </w:pPr>
      <w:r w:rsidRPr="00B22051">
        <w:rPr>
          <w:rFonts w:ascii="Arial" w:hAnsi="Arial" w:cs="Arial"/>
        </w:rPr>
        <w:t xml:space="preserve">En su caso, informe del órgano de tutela financiera. </w:t>
      </w:r>
    </w:p>
    <w:p w:rsidR="00295FCC" w:rsidRPr="00B22051" w:rsidRDefault="009D6E73" w:rsidP="00B22051">
      <w:pPr>
        <w:numPr>
          <w:ilvl w:val="0"/>
          <w:numId w:val="24"/>
        </w:numPr>
        <w:spacing w:after="240" w:line="250" w:lineRule="auto"/>
        <w:ind w:left="1281" w:right="0" w:hanging="357"/>
        <w:rPr>
          <w:rFonts w:ascii="Arial" w:hAnsi="Arial" w:cs="Arial"/>
        </w:rPr>
      </w:pPr>
      <w:r w:rsidRPr="00B22051">
        <w:rPr>
          <w:rFonts w:ascii="Arial" w:hAnsi="Arial" w:cs="Arial"/>
        </w:rPr>
        <w:t xml:space="preserve">Acuerdo o resolución del Pleno o del Presidente en el que se resuelva continuar con la tramitación del expediente de gasto en contra del reparo. </w:t>
      </w:r>
    </w:p>
    <w:p w:rsidR="00295FCC" w:rsidRPr="00B22051" w:rsidRDefault="009D6E73" w:rsidP="00B22051">
      <w:pPr>
        <w:spacing w:after="120" w:line="250" w:lineRule="auto"/>
        <w:ind w:left="11" w:right="0" w:firstLine="556"/>
        <w:rPr>
          <w:rFonts w:ascii="Arial" w:hAnsi="Arial" w:cs="Arial"/>
        </w:rPr>
      </w:pPr>
      <w:r w:rsidRPr="00B22051">
        <w:rPr>
          <w:rFonts w:ascii="Arial" w:hAnsi="Arial" w:cs="Arial"/>
          <w:b/>
        </w:rPr>
        <w:t>3.- Acuerdos y resoluciones con omisión del trámite de fiscalización pre</w:t>
      </w:r>
      <w:r w:rsidR="00B22051">
        <w:rPr>
          <w:rFonts w:ascii="Arial" w:hAnsi="Arial" w:cs="Arial"/>
          <w:b/>
        </w:rPr>
        <w:t>via:</w:t>
      </w:r>
      <w:r w:rsidRPr="00B22051">
        <w:rPr>
          <w:rFonts w:ascii="Arial" w:hAnsi="Arial" w:cs="Arial"/>
        </w:rPr>
        <w:t xml:space="preserve"> </w:t>
      </w:r>
    </w:p>
    <w:p w:rsidR="00295FCC" w:rsidRPr="00B22051" w:rsidRDefault="009D6E73" w:rsidP="00B22051">
      <w:pPr>
        <w:pStyle w:val="Prrafodelista"/>
        <w:numPr>
          <w:ilvl w:val="0"/>
          <w:numId w:val="23"/>
        </w:numPr>
        <w:spacing w:after="120" w:line="250" w:lineRule="auto"/>
        <w:ind w:left="981" w:right="0" w:hanging="357"/>
        <w:contextualSpacing w:val="0"/>
        <w:rPr>
          <w:rFonts w:ascii="Arial" w:hAnsi="Arial" w:cs="Arial"/>
        </w:rPr>
      </w:pPr>
      <w:r w:rsidRPr="00B22051">
        <w:rPr>
          <w:rFonts w:ascii="Arial" w:hAnsi="Arial" w:cs="Arial"/>
        </w:rPr>
        <w:t xml:space="preserve">Información relativa a acuerdos y resoluciones adoptados con omisión del trámite de fiscalización previa. </w:t>
      </w:r>
    </w:p>
    <w:p w:rsidR="00295FCC" w:rsidRPr="00B22051" w:rsidRDefault="009D6E73" w:rsidP="00B22051">
      <w:pPr>
        <w:ind w:left="991" w:right="0"/>
        <w:rPr>
          <w:rFonts w:ascii="Arial" w:hAnsi="Arial" w:cs="Arial"/>
        </w:rPr>
      </w:pPr>
      <w:r w:rsidRPr="00B22051">
        <w:rPr>
          <w:rFonts w:ascii="Arial" w:hAnsi="Arial" w:cs="Arial"/>
        </w:rPr>
        <w:t xml:space="preserve">Si no existieran se hará constar esa circunstancia mediante la remisión de la </w:t>
      </w:r>
      <w:r w:rsidRPr="00B22051">
        <w:rPr>
          <w:rFonts w:ascii="Arial" w:hAnsi="Arial" w:cs="Arial"/>
          <w:u w:val="single" w:color="000000"/>
        </w:rPr>
        <w:t>certificación negativa</w:t>
      </w:r>
      <w:r w:rsidRPr="00B22051">
        <w:rPr>
          <w:rFonts w:ascii="Arial" w:hAnsi="Arial" w:cs="Arial"/>
        </w:rPr>
        <w:t xml:space="preserve"> contenida en el Portal. </w:t>
      </w:r>
    </w:p>
    <w:p w:rsidR="00295FCC" w:rsidRPr="00B22051" w:rsidRDefault="009D6E73">
      <w:pPr>
        <w:spacing w:after="0" w:line="259" w:lineRule="auto"/>
        <w:ind w:left="360" w:right="0" w:firstLine="0"/>
        <w:jc w:val="left"/>
        <w:rPr>
          <w:rFonts w:ascii="Arial" w:hAnsi="Arial" w:cs="Arial"/>
        </w:rPr>
      </w:pPr>
      <w:r w:rsidRPr="00B22051">
        <w:rPr>
          <w:rFonts w:ascii="Arial" w:hAnsi="Arial" w:cs="Arial"/>
        </w:rPr>
        <w:t xml:space="preserve"> </w:t>
      </w:r>
    </w:p>
    <w:p w:rsidR="00295FCC" w:rsidRPr="00B22051" w:rsidRDefault="009D6E73" w:rsidP="00FC1513">
      <w:pPr>
        <w:pStyle w:val="Prrafodelista"/>
        <w:numPr>
          <w:ilvl w:val="0"/>
          <w:numId w:val="23"/>
        </w:numPr>
        <w:spacing w:after="120" w:line="250" w:lineRule="auto"/>
        <w:ind w:left="981" w:right="0" w:hanging="357"/>
        <w:contextualSpacing w:val="0"/>
        <w:rPr>
          <w:rFonts w:ascii="Arial" w:hAnsi="Arial" w:cs="Arial"/>
        </w:rPr>
      </w:pPr>
      <w:r w:rsidRPr="00B22051">
        <w:rPr>
          <w:rFonts w:ascii="Arial" w:hAnsi="Arial" w:cs="Arial"/>
        </w:rPr>
        <w:t xml:space="preserve">Documentación relativa a acuerdos y resoluciones adoptados con omisión del trámite de fiscalización previa: </w:t>
      </w:r>
    </w:p>
    <w:p w:rsidR="00295FCC" w:rsidRPr="00B22051" w:rsidRDefault="009D6E73" w:rsidP="00FC1513">
      <w:pPr>
        <w:numPr>
          <w:ilvl w:val="0"/>
          <w:numId w:val="25"/>
        </w:numPr>
        <w:ind w:right="0"/>
        <w:rPr>
          <w:rFonts w:ascii="Arial" w:hAnsi="Arial" w:cs="Arial"/>
        </w:rPr>
      </w:pPr>
      <w:r w:rsidRPr="00B22051">
        <w:rPr>
          <w:rFonts w:ascii="Arial" w:hAnsi="Arial" w:cs="Arial"/>
        </w:rPr>
        <w:t xml:space="preserve">Informe de omisión de fiscalización emitido por el órgano de </w:t>
      </w:r>
    </w:p>
    <w:p w:rsidR="00295FCC" w:rsidRPr="00B22051" w:rsidRDefault="009D6E73" w:rsidP="00FC1513">
      <w:pPr>
        <w:pStyle w:val="Prrafodelista"/>
        <w:numPr>
          <w:ilvl w:val="0"/>
          <w:numId w:val="25"/>
        </w:numPr>
        <w:ind w:right="0"/>
        <w:rPr>
          <w:rFonts w:ascii="Arial" w:hAnsi="Arial" w:cs="Arial"/>
        </w:rPr>
      </w:pPr>
      <w:r w:rsidRPr="00B22051">
        <w:rPr>
          <w:rFonts w:ascii="Arial" w:hAnsi="Arial" w:cs="Arial"/>
        </w:rPr>
        <w:t xml:space="preserve">intervención. </w:t>
      </w:r>
    </w:p>
    <w:p w:rsidR="00295FCC" w:rsidRPr="00B22051" w:rsidRDefault="009D6E73" w:rsidP="00FC1513">
      <w:pPr>
        <w:numPr>
          <w:ilvl w:val="0"/>
          <w:numId w:val="25"/>
        </w:numPr>
        <w:ind w:right="0"/>
        <w:rPr>
          <w:rFonts w:ascii="Arial" w:hAnsi="Arial" w:cs="Arial"/>
        </w:rPr>
      </w:pPr>
      <w:r w:rsidRPr="00B22051">
        <w:rPr>
          <w:rFonts w:ascii="Arial" w:hAnsi="Arial" w:cs="Arial"/>
        </w:rPr>
        <w:t xml:space="preserve">Memoria, suscrita por el responsable directo de la omisión, que incluya </w:t>
      </w:r>
    </w:p>
    <w:p w:rsidR="00295FCC" w:rsidRPr="00B22051" w:rsidRDefault="009D6E73" w:rsidP="00FC1513">
      <w:pPr>
        <w:pStyle w:val="Prrafodelista"/>
        <w:numPr>
          <w:ilvl w:val="0"/>
          <w:numId w:val="25"/>
        </w:numPr>
        <w:ind w:right="0"/>
        <w:rPr>
          <w:rFonts w:ascii="Arial" w:hAnsi="Arial" w:cs="Arial"/>
        </w:rPr>
      </w:pPr>
      <w:r w:rsidRPr="00B22051">
        <w:rPr>
          <w:rFonts w:ascii="Arial" w:hAnsi="Arial" w:cs="Arial"/>
        </w:rPr>
        <w:t xml:space="preserve">la explicación de la omisión y las observaciones que estime convenientes. </w:t>
      </w:r>
    </w:p>
    <w:p w:rsidR="00295FCC" w:rsidRDefault="009D6E73" w:rsidP="00FC1513">
      <w:pPr>
        <w:numPr>
          <w:ilvl w:val="0"/>
          <w:numId w:val="25"/>
        </w:numPr>
        <w:spacing w:after="240" w:line="250" w:lineRule="auto"/>
        <w:ind w:left="1338" w:right="0" w:hanging="357"/>
        <w:rPr>
          <w:rFonts w:ascii="Arial" w:hAnsi="Arial" w:cs="Arial"/>
        </w:rPr>
      </w:pPr>
      <w:r w:rsidRPr="00B22051">
        <w:rPr>
          <w:rFonts w:ascii="Arial" w:hAnsi="Arial" w:cs="Arial"/>
        </w:rPr>
        <w:t xml:space="preserve">Acuerdo o resolución del Pleno, de la Junta de Gobierno Local o del Presidente en el que se acuerde la continuación del procedimiento. </w:t>
      </w:r>
    </w:p>
    <w:p w:rsidR="00FC1513" w:rsidRDefault="00FC1513" w:rsidP="00FC1513">
      <w:pPr>
        <w:spacing w:after="240" w:line="250" w:lineRule="auto"/>
        <w:ind w:left="1338" w:right="0" w:firstLine="0"/>
        <w:rPr>
          <w:rFonts w:ascii="Arial" w:hAnsi="Arial" w:cs="Arial"/>
        </w:rPr>
      </w:pPr>
    </w:p>
    <w:p w:rsidR="00FC1513" w:rsidRDefault="00FC1513" w:rsidP="00FC1513">
      <w:pPr>
        <w:spacing w:after="240" w:line="250" w:lineRule="auto"/>
        <w:ind w:left="1338" w:right="0" w:firstLine="0"/>
        <w:rPr>
          <w:rFonts w:ascii="Arial" w:hAnsi="Arial" w:cs="Arial"/>
        </w:rPr>
      </w:pPr>
    </w:p>
    <w:p w:rsidR="00295FCC" w:rsidRPr="00B22051" w:rsidRDefault="009D6E73" w:rsidP="00B22051">
      <w:pPr>
        <w:spacing w:after="120" w:line="250" w:lineRule="auto"/>
        <w:ind w:left="11" w:right="0" w:firstLine="556"/>
        <w:rPr>
          <w:rFonts w:ascii="Arial" w:hAnsi="Arial" w:cs="Arial"/>
          <w:b/>
        </w:rPr>
      </w:pPr>
      <w:r w:rsidRPr="00B22051">
        <w:rPr>
          <w:rFonts w:ascii="Arial" w:hAnsi="Arial" w:cs="Arial"/>
          <w:b/>
        </w:rPr>
        <w:t xml:space="preserve">4.- Anomalías en la gestión de ingresos: </w:t>
      </w:r>
    </w:p>
    <w:p w:rsidR="00295FCC" w:rsidRDefault="009D6E73" w:rsidP="00B22051">
      <w:pPr>
        <w:pStyle w:val="Prrafodelista"/>
        <w:numPr>
          <w:ilvl w:val="0"/>
          <w:numId w:val="23"/>
        </w:numPr>
        <w:spacing w:after="120" w:line="250" w:lineRule="auto"/>
        <w:ind w:left="981" w:right="0" w:hanging="357"/>
        <w:contextualSpacing w:val="0"/>
      </w:pPr>
      <w:r>
        <w:t xml:space="preserve"> </w:t>
      </w:r>
      <w:r w:rsidRPr="00B22051">
        <w:rPr>
          <w:rFonts w:ascii="Arial" w:hAnsi="Arial" w:cs="Arial"/>
        </w:rPr>
        <w:t>Informe de control en el que se ponga de manifiesto la anomalía detectada en los ingresos.</w:t>
      </w:r>
      <w:r>
        <w:t xml:space="preserve"> </w:t>
      </w:r>
    </w:p>
    <w:p w:rsidR="00295FCC" w:rsidRDefault="009D6E73" w:rsidP="00CA0B7C">
      <w:pPr>
        <w:spacing w:after="240" w:line="250" w:lineRule="auto"/>
        <w:ind w:left="935" w:right="0" w:hanging="11"/>
      </w:pPr>
      <w:r>
        <w:t xml:space="preserve"> </w:t>
      </w:r>
      <w:r w:rsidRPr="00CA0B7C">
        <w:rPr>
          <w:rFonts w:ascii="Arial" w:hAnsi="Arial" w:cs="Arial"/>
        </w:rPr>
        <w:t xml:space="preserve">Si no existieran, se hará constar esa circunstancia mediante la remisión de la </w:t>
      </w:r>
      <w:r w:rsidRPr="00CA0B7C">
        <w:rPr>
          <w:rFonts w:ascii="Arial" w:hAnsi="Arial" w:cs="Arial"/>
          <w:u w:val="single"/>
        </w:rPr>
        <w:t>certificación negativa</w:t>
      </w:r>
      <w:r w:rsidRPr="00CA0B7C">
        <w:rPr>
          <w:rFonts w:ascii="Arial" w:hAnsi="Arial" w:cs="Arial"/>
        </w:rPr>
        <w:t xml:space="preserve"> contenida en el Portal.</w:t>
      </w:r>
      <w:r>
        <w:t xml:space="preserve"> </w:t>
      </w:r>
    </w:p>
    <w:p w:rsidR="00295FCC" w:rsidRPr="00B22051" w:rsidRDefault="009D6E73" w:rsidP="001E22B7">
      <w:pPr>
        <w:spacing w:after="120" w:line="259" w:lineRule="auto"/>
        <w:ind w:left="993" w:right="0" w:hanging="426"/>
        <w:rPr>
          <w:rFonts w:ascii="Arial" w:hAnsi="Arial" w:cs="Arial"/>
          <w:b/>
        </w:rPr>
      </w:pPr>
      <w:r w:rsidRPr="00B22051">
        <w:rPr>
          <w:rFonts w:ascii="Arial" w:hAnsi="Arial" w:cs="Arial"/>
          <w:b/>
        </w:rPr>
        <w:t xml:space="preserve">  5.- Comunicación de hechos que pudieran ser constitutivos de responsabilidad</w:t>
      </w:r>
      <w:r w:rsidR="00B22051">
        <w:rPr>
          <w:rFonts w:ascii="Arial" w:hAnsi="Arial" w:cs="Arial"/>
          <w:b/>
        </w:rPr>
        <w:t xml:space="preserve"> </w:t>
      </w:r>
      <w:r w:rsidRPr="00B22051">
        <w:rPr>
          <w:rFonts w:ascii="Arial" w:hAnsi="Arial" w:cs="Arial"/>
          <w:b/>
        </w:rPr>
        <w:t xml:space="preserve">contable o de infracciones en materia de gestión económico-presupuestaria. </w:t>
      </w:r>
    </w:p>
    <w:p w:rsidR="00295FCC" w:rsidRPr="00B22051" w:rsidRDefault="009D6E73" w:rsidP="00256925">
      <w:pPr>
        <w:spacing w:after="120" w:line="250" w:lineRule="auto"/>
        <w:ind w:left="11" w:right="0" w:firstLine="556"/>
        <w:rPr>
          <w:rFonts w:ascii="Arial" w:hAnsi="Arial" w:cs="Arial"/>
        </w:rPr>
      </w:pPr>
      <w:r w:rsidRPr="00256925">
        <w:rPr>
          <w:rFonts w:ascii="Arial" w:hAnsi="Arial" w:cs="Arial"/>
        </w:rPr>
        <w:t xml:space="preserve">  </w:t>
      </w:r>
      <w:r w:rsidR="00B22051" w:rsidRPr="00B22051">
        <w:rPr>
          <w:rFonts w:ascii="Arial" w:hAnsi="Arial" w:cs="Arial"/>
        </w:rPr>
        <w:tab/>
      </w:r>
      <w:r w:rsidRPr="00256925">
        <w:rPr>
          <w:rFonts w:ascii="Arial" w:hAnsi="Arial" w:cs="Arial"/>
          <w:u w:val="single"/>
        </w:rPr>
        <w:t>Procedimiento de remisión</w:t>
      </w:r>
      <w:r w:rsidRPr="00B22051">
        <w:rPr>
          <w:rFonts w:ascii="Arial" w:hAnsi="Arial" w:cs="Arial"/>
        </w:rPr>
        <w:t xml:space="preserve">: </w:t>
      </w:r>
    </w:p>
    <w:p w:rsidR="00295FCC" w:rsidRPr="00B22051" w:rsidRDefault="009D6E73" w:rsidP="00256925">
      <w:pPr>
        <w:spacing w:after="120" w:line="250" w:lineRule="auto"/>
        <w:ind w:left="11" w:right="0" w:firstLine="556"/>
        <w:rPr>
          <w:rFonts w:ascii="Arial" w:hAnsi="Arial" w:cs="Arial"/>
        </w:rPr>
      </w:pPr>
      <w:r w:rsidRPr="00B22051">
        <w:rPr>
          <w:rFonts w:ascii="Arial" w:hAnsi="Arial" w:cs="Arial"/>
        </w:rPr>
        <w:t xml:space="preserve"> </w:t>
      </w:r>
      <w:r w:rsidR="00B22051">
        <w:rPr>
          <w:rFonts w:ascii="Arial" w:hAnsi="Arial" w:cs="Arial"/>
        </w:rPr>
        <w:tab/>
      </w:r>
      <w:r w:rsidRPr="00CA0B7C">
        <w:rPr>
          <w:rFonts w:ascii="Arial" w:hAnsi="Arial" w:cs="Arial"/>
          <w:b/>
          <w:u w:val="single"/>
        </w:rPr>
        <w:t>AVISO</w:t>
      </w:r>
      <w:r w:rsidRPr="00B22051">
        <w:rPr>
          <w:rFonts w:ascii="Arial" w:hAnsi="Arial" w:cs="Arial"/>
        </w:rPr>
        <w:t xml:space="preserve">: La remisión de la información y documentación mencionada en los apartados 1-4, o, en su caso </w:t>
      </w:r>
      <w:r w:rsidRPr="00256925">
        <w:rPr>
          <w:rFonts w:ascii="Arial" w:hAnsi="Arial" w:cs="Arial"/>
          <w:u w:val="single"/>
        </w:rPr>
        <w:t>certificación negativa</w:t>
      </w:r>
      <w:r w:rsidRPr="00B22051">
        <w:rPr>
          <w:rFonts w:ascii="Arial" w:hAnsi="Arial" w:cs="Arial"/>
        </w:rPr>
        <w:t xml:space="preserve">, se efectuará a través de la Plataforma de Rendición de Cuentas con </w:t>
      </w:r>
      <w:r w:rsidRPr="00256925">
        <w:rPr>
          <w:rFonts w:ascii="Arial" w:hAnsi="Arial" w:cs="Arial"/>
          <w:b/>
        </w:rPr>
        <w:t>anterioridad al 30 de abril</w:t>
      </w:r>
      <w:r w:rsidRPr="00B22051">
        <w:rPr>
          <w:rFonts w:ascii="Arial" w:hAnsi="Arial" w:cs="Arial"/>
        </w:rPr>
        <w:t xml:space="preserve"> del ejercicio siguiente a aquel a que se refieran. </w:t>
      </w:r>
    </w:p>
    <w:p w:rsidR="00295FCC" w:rsidRPr="00B22051" w:rsidRDefault="009D6E73" w:rsidP="00256925">
      <w:pPr>
        <w:spacing w:after="120" w:line="250" w:lineRule="auto"/>
        <w:ind w:left="11" w:right="0" w:firstLine="556"/>
        <w:rPr>
          <w:rFonts w:ascii="Arial" w:hAnsi="Arial" w:cs="Arial"/>
        </w:rPr>
      </w:pPr>
      <w:r w:rsidRPr="00B22051">
        <w:rPr>
          <w:rFonts w:ascii="Arial" w:hAnsi="Arial" w:cs="Arial"/>
        </w:rPr>
        <w:t xml:space="preserve"> </w:t>
      </w:r>
      <w:r w:rsidR="00256925">
        <w:rPr>
          <w:rFonts w:ascii="Arial" w:hAnsi="Arial" w:cs="Arial"/>
        </w:rPr>
        <w:tab/>
      </w:r>
      <w:r w:rsidRPr="00B22051">
        <w:rPr>
          <w:rFonts w:ascii="Arial" w:hAnsi="Arial" w:cs="Arial"/>
        </w:rPr>
        <w:t xml:space="preserve">La comunicación de los hechos constitutivos de responsabilidad contable del apartado 5 se efectuará tan pronto se tenga conocimiento de los mismos. </w:t>
      </w:r>
    </w:p>
    <w:p w:rsidR="00295FCC" w:rsidRPr="00B22051" w:rsidRDefault="009D6E73" w:rsidP="00CA0B7C">
      <w:pPr>
        <w:spacing w:after="120" w:line="250" w:lineRule="auto"/>
        <w:ind w:left="11" w:right="0" w:firstLine="556"/>
        <w:rPr>
          <w:rFonts w:ascii="Arial" w:hAnsi="Arial" w:cs="Arial"/>
        </w:rPr>
      </w:pPr>
      <w:r w:rsidRPr="00B22051">
        <w:rPr>
          <w:rFonts w:ascii="Arial" w:hAnsi="Arial" w:cs="Arial"/>
        </w:rPr>
        <w:t xml:space="preserve"> La remisión al Tribunal de Cuentas de la información relativa al ejercicio del control interno en los ejercicios 2019 y posteriores se regirá por la Instrucción aprobada el 19 de diciembre de 2019.  </w:t>
      </w:r>
    </w:p>
    <w:p w:rsidR="00295FCC" w:rsidRDefault="009D6E73" w:rsidP="00365764">
      <w:pPr>
        <w:spacing w:after="600" w:line="250" w:lineRule="auto"/>
        <w:ind w:left="11" w:right="0" w:firstLine="556"/>
        <w:rPr>
          <w:rFonts w:ascii="Arial" w:hAnsi="Arial" w:cs="Arial"/>
        </w:rPr>
      </w:pPr>
      <w:r w:rsidRPr="00B22051">
        <w:rPr>
          <w:rFonts w:ascii="Arial" w:hAnsi="Arial" w:cs="Arial"/>
        </w:rPr>
        <w:t xml:space="preserve">Esta información referida a los ejercicios 2018 y anteriores por la Instrucción del 30 de junio de 2015. </w:t>
      </w:r>
    </w:p>
    <w:p w:rsidR="00FC1513" w:rsidRDefault="00FC1513" w:rsidP="00365764">
      <w:pPr>
        <w:spacing w:after="600" w:line="250" w:lineRule="auto"/>
        <w:ind w:left="11" w:right="0" w:firstLine="556"/>
        <w:rPr>
          <w:rFonts w:ascii="Arial" w:hAnsi="Arial" w:cs="Arial"/>
        </w:rPr>
      </w:pPr>
    </w:p>
    <w:p w:rsidR="00FC1513" w:rsidRDefault="00FC1513" w:rsidP="00365764">
      <w:pPr>
        <w:spacing w:after="600" w:line="250" w:lineRule="auto"/>
        <w:ind w:left="11" w:right="0" w:firstLine="556"/>
        <w:rPr>
          <w:rFonts w:ascii="Arial" w:hAnsi="Arial" w:cs="Arial"/>
        </w:rPr>
      </w:pPr>
    </w:p>
    <w:p w:rsidR="00FC1513" w:rsidRDefault="00FC1513" w:rsidP="00365764">
      <w:pPr>
        <w:spacing w:after="600" w:line="250" w:lineRule="auto"/>
        <w:ind w:left="11" w:right="0" w:firstLine="556"/>
        <w:rPr>
          <w:rFonts w:ascii="Arial" w:hAnsi="Arial" w:cs="Arial"/>
        </w:rPr>
      </w:pPr>
    </w:p>
    <w:p w:rsidR="00FC1513" w:rsidRDefault="00FC1513" w:rsidP="00365764">
      <w:pPr>
        <w:spacing w:after="600" w:line="250" w:lineRule="auto"/>
        <w:ind w:left="11" w:right="0" w:firstLine="556"/>
        <w:rPr>
          <w:rFonts w:ascii="Arial" w:hAnsi="Arial" w:cs="Arial"/>
        </w:rPr>
      </w:pPr>
    </w:p>
    <w:p w:rsidR="00FC1513" w:rsidRDefault="00FC1513" w:rsidP="00365764">
      <w:pPr>
        <w:spacing w:after="600" w:line="250" w:lineRule="auto"/>
        <w:ind w:left="11" w:right="0" w:firstLine="556"/>
        <w:rPr>
          <w:rFonts w:ascii="Arial" w:hAnsi="Arial" w:cs="Arial"/>
        </w:rPr>
      </w:pPr>
    </w:p>
    <w:p w:rsidR="00FC1513" w:rsidRDefault="00FC1513" w:rsidP="00365764">
      <w:pPr>
        <w:spacing w:after="600" w:line="250" w:lineRule="auto"/>
        <w:ind w:left="11" w:right="0" w:firstLine="556"/>
        <w:rPr>
          <w:rFonts w:ascii="Arial" w:hAnsi="Arial" w:cs="Arial"/>
        </w:rPr>
      </w:pPr>
    </w:p>
    <w:p w:rsidR="00FC1513" w:rsidRDefault="00FC1513" w:rsidP="00365764">
      <w:pPr>
        <w:spacing w:after="600" w:line="250" w:lineRule="auto"/>
        <w:ind w:left="11" w:right="0" w:firstLine="556"/>
        <w:rPr>
          <w:rFonts w:ascii="Arial" w:hAnsi="Arial" w:cs="Arial"/>
        </w:rPr>
      </w:pPr>
    </w:p>
    <w:p w:rsidR="00FC1513" w:rsidRDefault="00FC1513" w:rsidP="00365764">
      <w:pPr>
        <w:spacing w:after="600" w:line="250" w:lineRule="auto"/>
        <w:ind w:left="11" w:right="0" w:firstLine="556"/>
        <w:rPr>
          <w:rFonts w:ascii="Arial" w:hAnsi="Arial" w:cs="Arial"/>
        </w:rPr>
      </w:pPr>
    </w:p>
    <w:p w:rsidR="00FC1513" w:rsidRPr="00B22051" w:rsidRDefault="00FC1513" w:rsidP="00365764">
      <w:pPr>
        <w:spacing w:after="600" w:line="250" w:lineRule="auto"/>
        <w:ind w:left="11" w:right="0" w:firstLine="556"/>
        <w:rPr>
          <w:rFonts w:ascii="Arial" w:hAnsi="Arial" w:cs="Arial"/>
        </w:rPr>
      </w:pP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74"/>
      </w:tblGrid>
      <w:tr w:rsidR="00B16020" w:rsidTr="001B10EF">
        <w:tc>
          <w:tcPr>
            <w:tcW w:w="9174" w:type="dxa"/>
            <w:shd w:val="clear" w:color="auto" w:fill="D9D9D9" w:themeFill="background1" w:themeFillShade="D9"/>
          </w:tcPr>
          <w:p w:rsidR="00B16020" w:rsidRDefault="009D6E73" w:rsidP="00FE1565">
            <w:pPr>
              <w:spacing w:before="120" w:after="120" w:line="259" w:lineRule="auto"/>
              <w:ind w:left="284" w:right="284" w:firstLine="0"/>
              <w:jc w:val="center"/>
            </w:pPr>
            <w:r>
              <w:t xml:space="preserve"> </w:t>
            </w:r>
            <w:r>
              <w:rPr>
                <w:b/>
                <w:color w:val="0000FF"/>
              </w:rPr>
              <w:t xml:space="preserve"> </w:t>
            </w:r>
            <w:r w:rsidR="00B16020">
              <w:rPr>
                <w:rFonts w:ascii="Arial" w:hAnsi="Arial" w:cs="Arial"/>
                <w:b/>
              </w:rPr>
              <w:t xml:space="preserve">BLOQUE </w:t>
            </w:r>
            <w:r w:rsidR="00FE1565">
              <w:rPr>
                <w:rFonts w:ascii="Arial" w:hAnsi="Arial" w:cs="Arial"/>
                <w:b/>
              </w:rPr>
              <w:t>5</w:t>
            </w:r>
            <w:r w:rsidR="00B16020">
              <w:rPr>
                <w:rFonts w:ascii="Arial" w:hAnsi="Arial" w:cs="Arial"/>
                <w:b/>
              </w:rPr>
              <w:t xml:space="preserve">. </w:t>
            </w:r>
            <w:r w:rsidR="00B16020" w:rsidRPr="00B16020">
              <w:rPr>
                <w:rFonts w:ascii="Arial" w:hAnsi="Arial" w:cs="Arial"/>
                <w:b/>
              </w:rPr>
              <w:t xml:space="preserve">OBLIGACIONES </w:t>
            </w:r>
            <w:r w:rsidR="00E65E3F">
              <w:rPr>
                <w:rFonts w:ascii="Arial" w:hAnsi="Arial" w:cs="Arial"/>
                <w:b/>
              </w:rPr>
              <w:t xml:space="preserve">DE </w:t>
            </w:r>
            <w:r w:rsidR="00B16020" w:rsidRPr="00B16020">
              <w:rPr>
                <w:rFonts w:ascii="Arial" w:hAnsi="Arial" w:cs="Arial"/>
                <w:b/>
              </w:rPr>
              <w:t xml:space="preserve">SUMINISTRO </w:t>
            </w:r>
            <w:r w:rsidR="00E65E3F">
              <w:rPr>
                <w:rFonts w:ascii="Arial" w:hAnsi="Arial" w:cs="Arial"/>
                <w:b/>
              </w:rPr>
              <w:t xml:space="preserve">DE </w:t>
            </w:r>
            <w:r w:rsidR="00B16020" w:rsidRPr="00B16020">
              <w:rPr>
                <w:rFonts w:ascii="Arial" w:hAnsi="Arial" w:cs="Arial"/>
                <w:b/>
              </w:rPr>
              <w:t xml:space="preserve">INFORMACIÓN AL MINHAFP, ORDEN HAP/2105/2012, DE 1 DE OCTUBRE, MODIFICADA POR LA ORDEN  HAP/2082/2014, DE 7 DE NOVIEMBRE </w:t>
            </w:r>
          </w:p>
        </w:tc>
      </w:tr>
    </w:tbl>
    <w:p w:rsidR="00295FCC" w:rsidRDefault="00295FCC">
      <w:pPr>
        <w:spacing w:after="0" w:line="245" w:lineRule="auto"/>
        <w:ind w:left="360" w:right="8210" w:firstLine="0"/>
        <w:jc w:val="left"/>
      </w:pPr>
    </w:p>
    <w:p w:rsidR="00295FCC" w:rsidRDefault="009D6E73" w:rsidP="00B16020">
      <w:pPr>
        <w:spacing w:after="360" w:line="250" w:lineRule="auto"/>
        <w:ind w:left="11" w:right="0" w:firstLine="556"/>
        <w:rPr>
          <w:rFonts w:ascii="Arial" w:hAnsi="Arial" w:cs="Arial"/>
        </w:rPr>
      </w:pPr>
      <w:r>
        <w:t xml:space="preserve"> </w:t>
      </w:r>
      <w:r w:rsidRPr="00B16020">
        <w:rPr>
          <w:rFonts w:ascii="Arial" w:hAnsi="Arial" w:cs="Arial"/>
        </w:rPr>
        <w:t xml:space="preserve">En este apartado tratamos de sintetizar de las obligaciones de suministro de información que contempla la Orden 2105/2012, sin entrar a detallar el contenido concreto de la información a suministrar. No obstante, en cada una de las obligaciones de suministro de información citamos el artículo de la Orden que regula su contenido. </w:t>
      </w:r>
    </w:p>
    <w:p w:rsidR="0049197C" w:rsidRPr="0047226E" w:rsidRDefault="0049197C" w:rsidP="0049197C">
      <w:pPr>
        <w:spacing w:line="250" w:lineRule="auto"/>
        <w:ind w:left="11" w:right="0" w:hanging="11"/>
        <w:rPr>
          <w:rFonts w:ascii="Arial" w:hAnsi="Arial" w:cs="Arial"/>
        </w:rPr>
      </w:pP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04"/>
      </w:tblGrid>
      <w:tr w:rsidR="0049197C" w:rsidTr="001B10EF">
        <w:tc>
          <w:tcPr>
            <w:tcW w:w="9204" w:type="dxa"/>
            <w:tcBorders>
              <w:top w:val="single" w:sz="4" w:space="0" w:color="auto"/>
              <w:left w:val="nil"/>
              <w:bottom w:val="single" w:sz="4" w:space="0" w:color="auto"/>
              <w:right w:val="nil"/>
            </w:tcBorders>
            <w:shd w:val="clear" w:color="auto" w:fill="FFFFFF" w:themeFill="background1"/>
          </w:tcPr>
          <w:p w:rsidR="0049197C" w:rsidRPr="00E30FF9" w:rsidRDefault="0049197C" w:rsidP="0049197C">
            <w:pPr>
              <w:spacing w:before="240" w:after="240" w:line="250" w:lineRule="auto"/>
              <w:ind w:left="284" w:right="0" w:hanging="284"/>
              <w:jc w:val="center"/>
              <w:rPr>
                <w:rFonts w:ascii="Arial" w:hAnsi="Arial" w:cs="Arial"/>
              </w:rPr>
            </w:pPr>
            <w:r>
              <w:rPr>
                <w:rFonts w:ascii="Arial" w:hAnsi="Arial" w:cs="Arial"/>
                <w:b/>
                <w:color w:val="auto"/>
                <w:u w:color="0000FF"/>
              </w:rPr>
              <w:t>1</w:t>
            </w:r>
            <w:r w:rsidRPr="00E30FF9">
              <w:rPr>
                <w:rFonts w:ascii="Arial" w:hAnsi="Arial" w:cs="Arial"/>
                <w:b/>
                <w:color w:val="auto"/>
                <w:u w:color="0000FF"/>
              </w:rPr>
              <w:t xml:space="preserve">.- </w:t>
            </w:r>
            <w:r>
              <w:rPr>
                <w:rFonts w:ascii="Arial" w:hAnsi="Arial" w:cs="Arial"/>
                <w:b/>
                <w:color w:val="auto"/>
                <w:u w:color="0000FF"/>
              </w:rPr>
              <w:t>OBLIGACIONES DE REMISIÓN PERIÓDICA</w:t>
            </w:r>
          </w:p>
        </w:tc>
      </w:tr>
    </w:tbl>
    <w:tbl>
      <w:tblPr>
        <w:tblStyle w:val="TableGrid"/>
        <w:tblpPr w:leftFromText="141" w:rightFromText="141" w:vertAnchor="text" w:horzAnchor="margin" w:tblpY="275"/>
        <w:tblW w:w="9208" w:type="dxa"/>
        <w:tblInd w:w="0" w:type="dxa"/>
        <w:tblCellMar>
          <w:top w:w="57" w:type="dxa"/>
          <w:left w:w="108" w:type="dxa"/>
          <w:right w:w="32" w:type="dxa"/>
        </w:tblCellMar>
        <w:tblLook w:val="04A0" w:firstRow="1" w:lastRow="0" w:firstColumn="1" w:lastColumn="0" w:noHBand="0" w:noVBand="1"/>
      </w:tblPr>
      <w:tblGrid>
        <w:gridCol w:w="2125"/>
        <w:gridCol w:w="5587"/>
        <w:gridCol w:w="1496"/>
      </w:tblGrid>
      <w:tr w:rsidR="00AA5698" w:rsidTr="00AA5698">
        <w:trPr>
          <w:trHeight w:val="557"/>
        </w:trPr>
        <w:tc>
          <w:tcPr>
            <w:tcW w:w="9208" w:type="dxa"/>
            <w:gridSpan w:val="3"/>
            <w:tcBorders>
              <w:top w:val="single" w:sz="4" w:space="0" w:color="000000"/>
              <w:left w:val="single" w:sz="4" w:space="0" w:color="000000"/>
              <w:bottom w:val="single" w:sz="4" w:space="0" w:color="000000"/>
              <w:right w:val="single" w:sz="4" w:space="0" w:color="000000"/>
            </w:tcBorders>
          </w:tcPr>
          <w:p w:rsidR="00AA5698" w:rsidRPr="00AA5698" w:rsidRDefault="00AA5698" w:rsidP="00AA5698">
            <w:pPr>
              <w:spacing w:before="60" w:after="60" w:line="240" w:lineRule="auto"/>
              <w:ind w:left="0" w:right="79" w:firstLine="0"/>
              <w:jc w:val="center"/>
              <w:rPr>
                <w:rFonts w:ascii="Arial" w:hAnsi="Arial" w:cs="Arial"/>
                <w:color w:val="auto"/>
              </w:rPr>
            </w:pPr>
            <w:r w:rsidRPr="00AA5698">
              <w:rPr>
                <w:rFonts w:ascii="Arial" w:hAnsi="Arial" w:cs="Arial"/>
                <w:b/>
                <w:color w:val="auto"/>
              </w:rPr>
              <w:t>OBLIGACION</w:t>
            </w:r>
            <w:r>
              <w:rPr>
                <w:rFonts w:ascii="Arial" w:hAnsi="Arial" w:cs="Arial"/>
                <w:b/>
                <w:color w:val="auto"/>
              </w:rPr>
              <w:t xml:space="preserve">ES DE REMISIÓN PERIÓDICA ANUAL </w:t>
            </w:r>
          </w:p>
        </w:tc>
      </w:tr>
      <w:tr w:rsidR="00AA5698" w:rsidTr="00AA5698">
        <w:trPr>
          <w:trHeight w:val="295"/>
        </w:trPr>
        <w:tc>
          <w:tcPr>
            <w:tcW w:w="2125" w:type="dxa"/>
            <w:tcBorders>
              <w:top w:val="single" w:sz="4" w:space="0" w:color="000000"/>
              <w:left w:val="single" w:sz="4" w:space="0" w:color="000000"/>
              <w:bottom w:val="single" w:sz="4" w:space="0" w:color="000000"/>
              <w:right w:val="single" w:sz="4" w:space="0" w:color="000000"/>
            </w:tcBorders>
          </w:tcPr>
          <w:p w:rsidR="00AA5698" w:rsidRPr="00AA5698" w:rsidRDefault="00AA5698" w:rsidP="00AA5698">
            <w:pPr>
              <w:spacing w:after="0" w:line="259" w:lineRule="auto"/>
              <w:ind w:left="0" w:right="76" w:firstLine="0"/>
              <w:jc w:val="center"/>
              <w:rPr>
                <w:rFonts w:ascii="Arial" w:hAnsi="Arial" w:cs="Arial"/>
                <w:color w:val="auto"/>
              </w:rPr>
            </w:pPr>
            <w:r w:rsidRPr="00AA5698">
              <w:rPr>
                <w:rFonts w:ascii="Arial" w:hAnsi="Arial" w:cs="Arial"/>
                <w:b/>
                <w:color w:val="auto"/>
              </w:rPr>
              <w:t xml:space="preserve">PLAZO </w:t>
            </w:r>
          </w:p>
        </w:tc>
        <w:tc>
          <w:tcPr>
            <w:tcW w:w="5587" w:type="dxa"/>
            <w:tcBorders>
              <w:top w:val="single" w:sz="4" w:space="0" w:color="000000"/>
              <w:left w:val="single" w:sz="4" w:space="0" w:color="000000"/>
              <w:bottom w:val="single" w:sz="4" w:space="0" w:color="000000"/>
              <w:right w:val="single" w:sz="4" w:space="0" w:color="000000"/>
            </w:tcBorders>
          </w:tcPr>
          <w:p w:rsidR="00AA5698" w:rsidRPr="00AA5698" w:rsidRDefault="00AA5698" w:rsidP="00AA5698">
            <w:pPr>
              <w:spacing w:after="0" w:line="259" w:lineRule="auto"/>
              <w:ind w:left="0" w:right="75" w:firstLine="0"/>
              <w:jc w:val="center"/>
              <w:rPr>
                <w:rFonts w:ascii="Arial" w:hAnsi="Arial" w:cs="Arial"/>
                <w:color w:val="auto"/>
              </w:rPr>
            </w:pPr>
            <w:r w:rsidRPr="00AA5698">
              <w:rPr>
                <w:rFonts w:ascii="Arial" w:hAnsi="Arial" w:cs="Arial"/>
                <w:b/>
                <w:color w:val="auto"/>
              </w:rPr>
              <w:t xml:space="preserve">INFORMACIÓN  A SUMINISTRAR </w:t>
            </w:r>
          </w:p>
        </w:tc>
        <w:tc>
          <w:tcPr>
            <w:tcW w:w="1496" w:type="dxa"/>
            <w:tcBorders>
              <w:top w:val="single" w:sz="4" w:space="0" w:color="000000"/>
              <w:left w:val="single" w:sz="4" w:space="0" w:color="000000"/>
              <w:bottom w:val="single" w:sz="4" w:space="0" w:color="000000"/>
              <w:right w:val="single" w:sz="4" w:space="0" w:color="000000"/>
            </w:tcBorders>
          </w:tcPr>
          <w:p w:rsidR="00AA5698" w:rsidRPr="00AA5698" w:rsidRDefault="00AA5698" w:rsidP="00AA5698">
            <w:pPr>
              <w:spacing w:after="0" w:line="259" w:lineRule="auto"/>
              <w:ind w:left="2" w:right="0" w:firstLine="0"/>
              <w:rPr>
                <w:rFonts w:ascii="Arial" w:hAnsi="Arial" w:cs="Arial"/>
                <w:color w:val="auto"/>
              </w:rPr>
            </w:pPr>
            <w:r w:rsidRPr="00AA5698">
              <w:rPr>
                <w:rFonts w:ascii="Arial" w:hAnsi="Arial" w:cs="Arial"/>
                <w:b/>
                <w:color w:val="auto"/>
              </w:rPr>
              <w:t xml:space="preserve">ARTÍCULO </w:t>
            </w:r>
          </w:p>
        </w:tc>
      </w:tr>
      <w:tr w:rsidR="00AA5698" w:rsidTr="00AA5698">
        <w:trPr>
          <w:trHeight w:val="550"/>
        </w:trPr>
        <w:tc>
          <w:tcPr>
            <w:tcW w:w="2125" w:type="dxa"/>
            <w:tcBorders>
              <w:top w:val="single" w:sz="4" w:space="0" w:color="000000"/>
              <w:left w:val="single" w:sz="4" w:space="0" w:color="000000"/>
              <w:bottom w:val="single" w:sz="4" w:space="0" w:color="000000"/>
              <w:right w:val="single" w:sz="4" w:space="0" w:color="000000"/>
            </w:tcBorders>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Antes del 31 de enero </w:t>
            </w:r>
          </w:p>
        </w:tc>
        <w:tc>
          <w:tcPr>
            <w:tcW w:w="5587"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PRESUPUESTO (aprobado o prorrogado) </w:t>
            </w:r>
          </w:p>
        </w:tc>
        <w:tc>
          <w:tcPr>
            <w:tcW w:w="1496"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75" w:firstLine="0"/>
              <w:jc w:val="center"/>
              <w:rPr>
                <w:rFonts w:ascii="Arial" w:hAnsi="Arial" w:cs="Arial"/>
              </w:rPr>
            </w:pPr>
            <w:r w:rsidRPr="00B16020">
              <w:rPr>
                <w:rFonts w:ascii="Arial" w:hAnsi="Arial" w:cs="Arial"/>
              </w:rPr>
              <w:t xml:space="preserve">15.3 </w:t>
            </w:r>
          </w:p>
        </w:tc>
      </w:tr>
      <w:tr w:rsidR="00AA5698" w:rsidTr="00AA5698">
        <w:trPr>
          <w:trHeight w:val="550"/>
        </w:trPr>
        <w:tc>
          <w:tcPr>
            <w:tcW w:w="2125" w:type="dxa"/>
            <w:tcBorders>
              <w:top w:val="single" w:sz="4" w:space="0" w:color="000000"/>
              <w:left w:val="single" w:sz="4" w:space="0" w:color="000000"/>
              <w:bottom w:val="single" w:sz="4" w:space="0" w:color="000000"/>
              <w:right w:val="single" w:sz="4" w:space="0" w:color="000000"/>
            </w:tcBorders>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Antes del 15 de marzo </w:t>
            </w:r>
          </w:p>
        </w:tc>
        <w:tc>
          <w:tcPr>
            <w:tcW w:w="5587"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PLANES PRESUPUESTARIO A MEDIO PLAZO </w:t>
            </w:r>
          </w:p>
        </w:tc>
        <w:tc>
          <w:tcPr>
            <w:tcW w:w="1496"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72" w:firstLine="0"/>
              <w:jc w:val="center"/>
              <w:rPr>
                <w:rFonts w:ascii="Arial" w:hAnsi="Arial" w:cs="Arial"/>
              </w:rPr>
            </w:pPr>
            <w:r w:rsidRPr="00B16020">
              <w:rPr>
                <w:rFonts w:ascii="Arial" w:hAnsi="Arial" w:cs="Arial"/>
              </w:rPr>
              <w:t xml:space="preserve">6 </w:t>
            </w:r>
          </w:p>
        </w:tc>
      </w:tr>
      <w:tr w:rsidR="00AA5698" w:rsidTr="00AA5698">
        <w:trPr>
          <w:trHeight w:val="552"/>
        </w:trPr>
        <w:tc>
          <w:tcPr>
            <w:tcW w:w="2125" w:type="dxa"/>
            <w:tcBorders>
              <w:top w:val="single" w:sz="4" w:space="0" w:color="000000"/>
              <w:left w:val="single" w:sz="4" w:space="0" w:color="000000"/>
              <w:bottom w:val="single" w:sz="4" w:space="0" w:color="000000"/>
              <w:right w:val="single" w:sz="4" w:space="0" w:color="000000"/>
            </w:tcBorders>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Antes del 31 de marzo  </w:t>
            </w:r>
          </w:p>
        </w:tc>
        <w:tc>
          <w:tcPr>
            <w:tcW w:w="5587"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LIQUIDACION DEL PRESUPUESTO </w:t>
            </w:r>
          </w:p>
        </w:tc>
        <w:tc>
          <w:tcPr>
            <w:tcW w:w="1496"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75" w:firstLine="0"/>
              <w:jc w:val="center"/>
              <w:rPr>
                <w:rFonts w:ascii="Arial" w:hAnsi="Arial" w:cs="Arial"/>
              </w:rPr>
            </w:pPr>
            <w:r w:rsidRPr="00B16020">
              <w:rPr>
                <w:rFonts w:ascii="Arial" w:hAnsi="Arial" w:cs="Arial"/>
              </w:rPr>
              <w:t xml:space="preserve">15.4 </w:t>
            </w:r>
          </w:p>
        </w:tc>
      </w:tr>
      <w:tr w:rsidR="00AA5698" w:rsidTr="00AA5698">
        <w:trPr>
          <w:trHeight w:val="819"/>
        </w:trPr>
        <w:tc>
          <w:tcPr>
            <w:tcW w:w="2125"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Antes del 30 de abril  </w:t>
            </w:r>
          </w:p>
        </w:tc>
        <w:tc>
          <w:tcPr>
            <w:tcW w:w="5587" w:type="dxa"/>
            <w:tcBorders>
              <w:top w:val="single" w:sz="4" w:space="0" w:color="000000"/>
              <w:left w:val="single" w:sz="4" w:space="0" w:color="000000"/>
              <w:bottom w:val="single" w:sz="4" w:space="0" w:color="000000"/>
              <w:right w:val="single" w:sz="4" w:space="0" w:color="000000"/>
            </w:tcBorders>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INFORMACIÓN DE LOS EFECTIVOS DE </w:t>
            </w:r>
          </w:p>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PERSONAL, ASÍ COMO SOBRE SUS </w:t>
            </w:r>
          </w:p>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RETRIBUCIONES, (ISPA) </w:t>
            </w:r>
          </w:p>
        </w:tc>
        <w:tc>
          <w:tcPr>
            <w:tcW w:w="1496"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75" w:firstLine="0"/>
              <w:jc w:val="center"/>
              <w:rPr>
                <w:rFonts w:ascii="Arial" w:hAnsi="Arial" w:cs="Arial"/>
              </w:rPr>
            </w:pPr>
            <w:r w:rsidRPr="00B16020">
              <w:rPr>
                <w:rFonts w:ascii="Arial" w:hAnsi="Arial" w:cs="Arial"/>
              </w:rPr>
              <w:t xml:space="preserve">7.4 </w:t>
            </w:r>
          </w:p>
        </w:tc>
      </w:tr>
      <w:tr w:rsidR="00AA5698" w:rsidTr="00AA5698">
        <w:trPr>
          <w:trHeight w:val="550"/>
        </w:trPr>
        <w:tc>
          <w:tcPr>
            <w:tcW w:w="2125" w:type="dxa"/>
            <w:tcBorders>
              <w:top w:val="single" w:sz="4" w:space="0" w:color="000000"/>
              <w:left w:val="single" w:sz="4" w:space="0" w:color="000000"/>
              <w:bottom w:val="single" w:sz="4" w:space="0" w:color="000000"/>
              <w:right w:val="single" w:sz="4" w:space="0" w:color="000000"/>
            </w:tcBorders>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Antes del 15 de septiembre </w:t>
            </w:r>
          </w:p>
        </w:tc>
        <w:tc>
          <w:tcPr>
            <w:tcW w:w="5587" w:type="dxa"/>
            <w:tcBorders>
              <w:top w:val="single" w:sz="4" w:space="0" w:color="000000"/>
              <w:left w:val="single" w:sz="4" w:space="0" w:color="000000"/>
              <w:bottom w:val="single" w:sz="4" w:space="0" w:color="000000"/>
              <w:right w:val="single" w:sz="4" w:space="0" w:color="000000"/>
            </w:tcBorders>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LINEAS FUNDAMENTALES DEL PRESUPUESTO PARA EL EJERCICIO SIGUIENTE </w:t>
            </w:r>
          </w:p>
        </w:tc>
        <w:tc>
          <w:tcPr>
            <w:tcW w:w="1496"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75" w:firstLine="0"/>
              <w:jc w:val="center"/>
              <w:rPr>
                <w:rFonts w:ascii="Arial" w:hAnsi="Arial" w:cs="Arial"/>
              </w:rPr>
            </w:pPr>
            <w:r w:rsidRPr="00B16020">
              <w:rPr>
                <w:rFonts w:ascii="Arial" w:hAnsi="Arial" w:cs="Arial"/>
              </w:rPr>
              <w:t xml:space="preserve">15.1 </w:t>
            </w:r>
          </w:p>
        </w:tc>
      </w:tr>
      <w:tr w:rsidR="00AA5698" w:rsidTr="00AA5698">
        <w:trPr>
          <w:trHeight w:val="552"/>
        </w:trPr>
        <w:tc>
          <w:tcPr>
            <w:tcW w:w="2125" w:type="dxa"/>
            <w:tcBorders>
              <w:top w:val="single" w:sz="4" w:space="0" w:color="000000"/>
              <w:left w:val="single" w:sz="4" w:space="0" w:color="000000"/>
              <w:bottom w:val="single" w:sz="4" w:space="0" w:color="000000"/>
              <w:right w:val="single" w:sz="4" w:space="0" w:color="000000"/>
            </w:tcBorders>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Antes del 31 de octubre </w:t>
            </w:r>
          </w:p>
        </w:tc>
        <w:tc>
          <w:tcPr>
            <w:tcW w:w="5587"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CUENTA GENERAL </w:t>
            </w:r>
          </w:p>
        </w:tc>
        <w:tc>
          <w:tcPr>
            <w:tcW w:w="1496"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75" w:firstLine="0"/>
              <w:jc w:val="center"/>
              <w:rPr>
                <w:rFonts w:ascii="Arial" w:hAnsi="Arial" w:cs="Arial"/>
              </w:rPr>
            </w:pPr>
            <w:r w:rsidRPr="00B16020">
              <w:rPr>
                <w:rFonts w:ascii="Arial" w:hAnsi="Arial" w:cs="Arial"/>
              </w:rPr>
              <w:t xml:space="preserve">15.5 </w:t>
            </w:r>
          </w:p>
        </w:tc>
      </w:tr>
      <w:tr w:rsidR="00AA5698" w:rsidTr="00AA5698">
        <w:trPr>
          <w:trHeight w:val="550"/>
        </w:trPr>
        <w:tc>
          <w:tcPr>
            <w:tcW w:w="2125" w:type="dxa"/>
            <w:tcBorders>
              <w:top w:val="single" w:sz="4" w:space="0" w:color="000000"/>
              <w:left w:val="single" w:sz="4" w:space="0" w:color="000000"/>
              <w:bottom w:val="single" w:sz="4" w:space="0" w:color="000000"/>
              <w:right w:val="single" w:sz="4" w:space="0" w:color="000000"/>
            </w:tcBorders>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Antes del 1 de noviembre </w:t>
            </w:r>
          </w:p>
        </w:tc>
        <w:tc>
          <w:tcPr>
            <w:tcW w:w="5587"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0" w:firstLine="0"/>
              <w:jc w:val="left"/>
              <w:rPr>
                <w:rFonts w:ascii="Arial" w:hAnsi="Arial" w:cs="Arial"/>
              </w:rPr>
            </w:pPr>
            <w:r w:rsidRPr="00B16020">
              <w:rPr>
                <w:rFonts w:ascii="Arial" w:hAnsi="Arial" w:cs="Arial"/>
              </w:rPr>
              <w:t xml:space="preserve">COSTE EFECTIVO DE LOS SERVICIOS </w:t>
            </w:r>
          </w:p>
        </w:tc>
        <w:tc>
          <w:tcPr>
            <w:tcW w:w="1496" w:type="dxa"/>
            <w:tcBorders>
              <w:top w:val="single" w:sz="4" w:space="0" w:color="000000"/>
              <w:left w:val="single" w:sz="4" w:space="0" w:color="000000"/>
              <w:bottom w:val="single" w:sz="4" w:space="0" w:color="000000"/>
              <w:right w:val="single" w:sz="4" w:space="0" w:color="000000"/>
            </w:tcBorders>
            <w:vAlign w:val="center"/>
          </w:tcPr>
          <w:p w:rsidR="00AA5698" w:rsidRPr="00B16020" w:rsidRDefault="00AA5698" w:rsidP="00AA5698">
            <w:pPr>
              <w:spacing w:after="0" w:line="259" w:lineRule="auto"/>
              <w:ind w:left="0" w:right="75" w:firstLine="0"/>
              <w:jc w:val="center"/>
              <w:rPr>
                <w:rFonts w:ascii="Arial" w:hAnsi="Arial" w:cs="Arial"/>
              </w:rPr>
            </w:pPr>
            <w:r w:rsidRPr="00B16020">
              <w:rPr>
                <w:rFonts w:ascii="Arial" w:hAnsi="Arial" w:cs="Arial"/>
              </w:rPr>
              <w:t xml:space="preserve">15.2 </w:t>
            </w:r>
          </w:p>
        </w:tc>
      </w:tr>
    </w:tbl>
    <w:p w:rsidR="0049197C" w:rsidRDefault="0049197C" w:rsidP="00AA5698">
      <w:pPr>
        <w:framePr w:hSpace="141" w:wrap="notBeside" w:vAnchor="text" w:hAnchor="margin" w:y="275"/>
        <w:spacing w:after="98" w:line="259" w:lineRule="auto"/>
        <w:ind w:left="427" w:right="0" w:firstLine="0"/>
        <w:jc w:val="left"/>
      </w:pPr>
    </w:p>
    <w:p w:rsidR="00295FCC" w:rsidRDefault="009D6E73">
      <w:pPr>
        <w:spacing w:after="0" w:line="259" w:lineRule="auto"/>
        <w:ind w:left="360" w:right="0" w:firstLine="0"/>
        <w:jc w:val="left"/>
      </w:pPr>
      <w:r>
        <w:t xml:space="preserve"> </w:t>
      </w:r>
    </w:p>
    <w:p w:rsidR="00AA5698" w:rsidRDefault="00AA5698">
      <w:pPr>
        <w:spacing w:after="0" w:line="259" w:lineRule="auto"/>
        <w:ind w:left="360" w:right="0" w:firstLine="0"/>
        <w:jc w:val="left"/>
      </w:pPr>
    </w:p>
    <w:p w:rsidR="00295FCC" w:rsidRDefault="009D6E73" w:rsidP="00B16020">
      <w:pPr>
        <w:spacing w:after="360" w:line="250" w:lineRule="auto"/>
        <w:ind w:left="11" w:right="0" w:firstLine="556"/>
        <w:rPr>
          <w:rFonts w:ascii="Arial" w:hAnsi="Arial" w:cs="Arial"/>
        </w:rPr>
      </w:pPr>
      <w:r w:rsidRPr="00B16020">
        <w:rPr>
          <w:rFonts w:ascii="Arial" w:hAnsi="Arial" w:cs="Arial"/>
        </w:rPr>
        <w:t xml:space="preserve">La información sobre el personal de los apartados 1 y 2 del artículo 7 se recoge conjuntamente con la de los presupuestos, ejecuciones trimestrales y liquidaciones. </w:t>
      </w:r>
    </w:p>
    <w:p w:rsidR="00FC1513" w:rsidRDefault="00FC1513" w:rsidP="00B16020">
      <w:pPr>
        <w:spacing w:after="360" w:line="250" w:lineRule="auto"/>
        <w:ind w:left="11" w:right="0" w:firstLine="556"/>
        <w:rPr>
          <w:rFonts w:ascii="Arial" w:hAnsi="Arial" w:cs="Arial"/>
        </w:rPr>
      </w:pPr>
    </w:p>
    <w:p w:rsidR="00FC1513" w:rsidRDefault="00FC1513" w:rsidP="00B16020">
      <w:pPr>
        <w:spacing w:after="360" w:line="250" w:lineRule="auto"/>
        <w:ind w:left="11" w:right="0" w:firstLine="556"/>
        <w:rPr>
          <w:rFonts w:ascii="Arial" w:hAnsi="Arial" w:cs="Arial"/>
        </w:rPr>
      </w:pPr>
    </w:p>
    <w:p w:rsidR="00FC1513" w:rsidRDefault="00FC1513" w:rsidP="00B16020">
      <w:pPr>
        <w:spacing w:after="360" w:line="250" w:lineRule="auto"/>
        <w:ind w:left="11" w:right="0" w:firstLine="556"/>
        <w:rPr>
          <w:rFonts w:ascii="Arial" w:hAnsi="Arial" w:cs="Arial"/>
        </w:rPr>
      </w:pPr>
    </w:p>
    <w:p w:rsidR="00FC1513" w:rsidRDefault="00FC1513" w:rsidP="00B16020">
      <w:pPr>
        <w:spacing w:after="360" w:line="250" w:lineRule="auto"/>
        <w:ind w:left="11" w:right="0" w:firstLine="556"/>
        <w:rPr>
          <w:rFonts w:ascii="Arial" w:hAnsi="Arial" w:cs="Arial"/>
        </w:rPr>
      </w:pPr>
    </w:p>
    <w:p w:rsidR="00FC1513" w:rsidRPr="00B16020" w:rsidRDefault="00FC1513" w:rsidP="00B16020">
      <w:pPr>
        <w:spacing w:after="360" w:line="250" w:lineRule="auto"/>
        <w:ind w:left="11" w:right="0" w:firstLine="556"/>
        <w:rPr>
          <w:rFonts w:ascii="Arial" w:hAnsi="Arial" w:cs="Arial"/>
        </w:rPr>
      </w:pPr>
    </w:p>
    <w:tbl>
      <w:tblPr>
        <w:tblStyle w:val="TableGrid"/>
        <w:tblW w:w="8781" w:type="dxa"/>
        <w:tblInd w:w="252" w:type="dxa"/>
        <w:tblCellMar>
          <w:top w:w="57" w:type="dxa"/>
          <w:left w:w="108" w:type="dxa"/>
          <w:right w:w="35" w:type="dxa"/>
        </w:tblCellMar>
        <w:tblLook w:val="04A0" w:firstRow="1" w:lastRow="0" w:firstColumn="1" w:lastColumn="0" w:noHBand="0" w:noVBand="1"/>
      </w:tblPr>
      <w:tblGrid>
        <w:gridCol w:w="2804"/>
        <w:gridCol w:w="4481"/>
        <w:gridCol w:w="1496"/>
      </w:tblGrid>
      <w:tr w:rsidR="00295FCC">
        <w:trPr>
          <w:trHeight w:val="557"/>
        </w:trPr>
        <w:tc>
          <w:tcPr>
            <w:tcW w:w="8781" w:type="dxa"/>
            <w:gridSpan w:val="3"/>
            <w:tcBorders>
              <w:top w:val="single" w:sz="4" w:space="0" w:color="000000"/>
              <w:left w:val="single" w:sz="4" w:space="0" w:color="000000"/>
              <w:bottom w:val="single" w:sz="4" w:space="0" w:color="000000"/>
              <w:right w:val="single" w:sz="4" w:space="0" w:color="000000"/>
            </w:tcBorders>
          </w:tcPr>
          <w:p w:rsidR="00295FCC" w:rsidRPr="00AA5698" w:rsidRDefault="009D6E73" w:rsidP="00AA5698">
            <w:pPr>
              <w:spacing w:before="60" w:after="60" w:line="240" w:lineRule="auto"/>
              <w:ind w:left="0" w:right="79" w:firstLine="0"/>
              <w:jc w:val="center"/>
              <w:rPr>
                <w:rFonts w:ascii="Arial" w:hAnsi="Arial" w:cs="Arial"/>
                <w:color w:val="auto"/>
              </w:rPr>
            </w:pPr>
            <w:r w:rsidRPr="00AA5698">
              <w:rPr>
                <w:rFonts w:ascii="Arial" w:hAnsi="Arial" w:cs="Arial"/>
                <w:color w:val="auto"/>
              </w:rPr>
              <w:t xml:space="preserve"> </w:t>
            </w:r>
            <w:r w:rsidRPr="00AA5698">
              <w:rPr>
                <w:rFonts w:ascii="Arial" w:hAnsi="Arial" w:cs="Arial"/>
                <w:b/>
                <w:color w:val="auto"/>
              </w:rPr>
              <w:t xml:space="preserve">OBLIGACIONES DE REMISIÓN PERIÓDICA TRIMESTRAL </w:t>
            </w:r>
            <w:r w:rsidRPr="00AA5698">
              <w:rPr>
                <w:rFonts w:ascii="Arial" w:hAnsi="Arial" w:cs="Arial"/>
                <w:color w:val="auto"/>
              </w:rPr>
              <w:t xml:space="preserve"> </w:t>
            </w:r>
          </w:p>
        </w:tc>
      </w:tr>
      <w:tr w:rsidR="00295FCC" w:rsidTr="00B16020">
        <w:trPr>
          <w:trHeight w:val="293"/>
        </w:trPr>
        <w:tc>
          <w:tcPr>
            <w:tcW w:w="2804" w:type="dxa"/>
            <w:tcBorders>
              <w:top w:val="single" w:sz="4" w:space="0" w:color="000000"/>
              <w:left w:val="single" w:sz="4" w:space="0" w:color="000000"/>
              <w:bottom w:val="single" w:sz="4" w:space="0" w:color="000000"/>
              <w:right w:val="single" w:sz="4" w:space="0" w:color="000000"/>
            </w:tcBorders>
          </w:tcPr>
          <w:p w:rsidR="00295FCC" w:rsidRPr="00AA5698" w:rsidRDefault="009D6E73">
            <w:pPr>
              <w:spacing w:after="0" w:line="259" w:lineRule="auto"/>
              <w:ind w:left="0" w:right="71" w:firstLine="0"/>
              <w:jc w:val="center"/>
              <w:rPr>
                <w:rFonts w:ascii="Arial" w:hAnsi="Arial" w:cs="Arial"/>
                <w:color w:val="auto"/>
              </w:rPr>
            </w:pPr>
            <w:r w:rsidRPr="00AA5698">
              <w:rPr>
                <w:rFonts w:ascii="Arial" w:hAnsi="Arial" w:cs="Arial"/>
                <w:b/>
                <w:color w:val="auto"/>
              </w:rPr>
              <w:t xml:space="preserve">PLAZO </w:t>
            </w:r>
          </w:p>
        </w:tc>
        <w:tc>
          <w:tcPr>
            <w:tcW w:w="4481" w:type="dxa"/>
            <w:tcBorders>
              <w:top w:val="single" w:sz="4" w:space="0" w:color="000000"/>
              <w:left w:val="single" w:sz="4" w:space="0" w:color="000000"/>
              <w:bottom w:val="single" w:sz="4" w:space="0" w:color="000000"/>
              <w:right w:val="single" w:sz="4" w:space="0" w:color="000000"/>
            </w:tcBorders>
          </w:tcPr>
          <w:p w:rsidR="00295FCC" w:rsidRPr="00AA5698" w:rsidRDefault="009D6E73">
            <w:pPr>
              <w:spacing w:after="0" w:line="259" w:lineRule="auto"/>
              <w:ind w:left="120" w:right="0" w:firstLine="0"/>
              <w:jc w:val="left"/>
              <w:rPr>
                <w:rFonts w:ascii="Arial" w:hAnsi="Arial" w:cs="Arial"/>
                <w:color w:val="auto"/>
              </w:rPr>
            </w:pPr>
            <w:r w:rsidRPr="00AA5698">
              <w:rPr>
                <w:rFonts w:ascii="Arial" w:hAnsi="Arial" w:cs="Arial"/>
                <w:b/>
                <w:color w:val="auto"/>
              </w:rPr>
              <w:t xml:space="preserve">INFORMACIÓN  A SUMINISTRAR </w:t>
            </w:r>
          </w:p>
        </w:tc>
        <w:tc>
          <w:tcPr>
            <w:tcW w:w="1496" w:type="dxa"/>
            <w:tcBorders>
              <w:top w:val="single" w:sz="4" w:space="0" w:color="000000"/>
              <w:left w:val="single" w:sz="4" w:space="0" w:color="000000"/>
              <w:bottom w:val="single" w:sz="4" w:space="0" w:color="000000"/>
              <w:right w:val="single" w:sz="4" w:space="0" w:color="000000"/>
            </w:tcBorders>
          </w:tcPr>
          <w:p w:rsidR="00295FCC" w:rsidRPr="00AA5698" w:rsidRDefault="009D6E73">
            <w:pPr>
              <w:spacing w:after="0" w:line="259" w:lineRule="auto"/>
              <w:ind w:left="0" w:right="0" w:firstLine="0"/>
              <w:rPr>
                <w:color w:val="auto"/>
              </w:rPr>
            </w:pPr>
            <w:r w:rsidRPr="00AA5698">
              <w:rPr>
                <w:b/>
                <w:color w:val="auto"/>
              </w:rPr>
              <w:t xml:space="preserve">ARTÍCULO </w:t>
            </w:r>
          </w:p>
        </w:tc>
      </w:tr>
      <w:tr w:rsidR="00295FCC" w:rsidTr="00B16020">
        <w:trPr>
          <w:trHeight w:val="552"/>
        </w:trPr>
        <w:tc>
          <w:tcPr>
            <w:tcW w:w="2804" w:type="dxa"/>
            <w:vMerge w:val="restart"/>
            <w:tcBorders>
              <w:top w:val="single" w:sz="4" w:space="0" w:color="000000"/>
              <w:left w:val="single" w:sz="4" w:space="0" w:color="000000"/>
              <w:bottom w:val="single" w:sz="4" w:space="0" w:color="000000"/>
              <w:right w:val="single" w:sz="4" w:space="0" w:color="000000"/>
            </w:tcBorders>
          </w:tcPr>
          <w:p w:rsidR="00295FCC" w:rsidRPr="00B16020" w:rsidRDefault="009D6E73">
            <w:pPr>
              <w:spacing w:after="0" w:line="259" w:lineRule="auto"/>
              <w:ind w:left="0" w:right="49" w:firstLine="0"/>
              <w:jc w:val="left"/>
              <w:rPr>
                <w:rFonts w:ascii="Arial" w:hAnsi="Arial" w:cs="Arial"/>
              </w:rPr>
            </w:pPr>
            <w:r w:rsidRPr="00B16020">
              <w:rPr>
                <w:rFonts w:ascii="Arial" w:hAnsi="Arial" w:cs="Arial"/>
              </w:rPr>
              <w:t xml:space="preserve">Antes del último día del mes siguiente al de finalización del trimestre de referencia (antes del último día de los meses de : enero 4-T, abril 1-T, julio 2-T , octubre 3-T) </w:t>
            </w:r>
          </w:p>
        </w:tc>
        <w:tc>
          <w:tcPr>
            <w:tcW w:w="4481" w:type="dxa"/>
            <w:tcBorders>
              <w:top w:val="single" w:sz="4" w:space="0" w:color="000000"/>
              <w:left w:val="single" w:sz="4" w:space="0" w:color="000000"/>
              <w:bottom w:val="single" w:sz="4" w:space="0" w:color="000000"/>
              <w:right w:val="single" w:sz="4" w:space="0" w:color="000000"/>
            </w:tcBorders>
          </w:tcPr>
          <w:p w:rsidR="00295FCC" w:rsidRPr="00B16020" w:rsidRDefault="009D6E73">
            <w:pPr>
              <w:spacing w:after="0" w:line="259" w:lineRule="auto"/>
              <w:ind w:left="0" w:right="0" w:firstLine="0"/>
              <w:jc w:val="left"/>
              <w:rPr>
                <w:rFonts w:ascii="Arial" w:hAnsi="Arial" w:cs="Arial"/>
              </w:rPr>
            </w:pPr>
            <w:r w:rsidRPr="00B16020">
              <w:rPr>
                <w:rFonts w:ascii="Arial" w:hAnsi="Arial" w:cs="Arial"/>
              </w:rPr>
              <w:t xml:space="preserve">EJEUCION TRIMESTRAL DEL PRESUPUESTO </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295FCC" w:rsidRDefault="009D6E73">
            <w:pPr>
              <w:spacing w:after="0" w:line="259" w:lineRule="auto"/>
              <w:ind w:left="0" w:right="77" w:firstLine="0"/>
              <w:jc w:val="center"/>
            </w:pPr>
            <w:r>
              <w:t xml:space="preserve">ART.16 </w:t>
            </w:r>
          </w:p>
        </w:tc>
      </w:tr>
      <w:tr w:rsidR="00295FCC" w:rsidTr="00B16020">
        <w:trPr>
          <w:trHeight w:val="722"/>
        </w:trPr>
        <w:tc>
          <w:tcPr>
            <w:tcW w:w="0" w:type="auto"/>
            <w:vMerge/>
            <w:tcBorders>
              <w:top w:val="nil"/>
              <w:left w:val="single" w:sz="4" w:space="0" w:color="000000"/>
              <w:bottom w:val="nil"/>
              <w:right w:val="single" w:sz="4" w:space="0" w:color="000000"/>
            </w:tcBorders>
          </w:tcPr>
          <w:p w:rsidR="00295FCC" w:rsidRPr="00B16020" w:rsidRDefault="00295FCC">
            <w:pPr>
              <w:spacing w:after="160" w:line="259" w:lineRule="auto"/>
              <w:ind w:left="0" w:right="0" w:firstLine="0"/>
              <w:jc w:val="left"/>
              <w:rPr>
                <w:rFonts w:ascii="Arial" w:hAnsi="Arial" w:cs="Arial"/>
              </w:rPr>
            </w:pPr>
          </w:p>
        </w:tc>
        <w:tc>
          <w:tcPr>
            <w:tcW w:w="4481" w:type="dxa"/>
            <w:tcBorders>
              <w:top w:val="single" w:sz="4" w:space="0" w:color="000000"/>
              <w:left w:val="single" w:sz="4" w:space="0" w:color="000000"/>
              <w:bottom w:val="single" w:sz="4" w:space="0" w:color="000000"/>
              <w:right w:val="single" w:sz="4" w:space="0" w:color="000000"/>
            </w:tcBorders>
          </w:tcPr>
          <w:p w:rsidR="00295FCC" w:rsidRPr="00B16020" w:rsidRDefault="009D6E73">
            <w:pPr>
              <w:spacing w:after="0" w:line="259" w:lineRule="auto"/>
              <w:ind w:left="0" w:right="0" w:firstLine="0"/>
              <w:jc w:val="left"/>
              <w:rPr>
                <w:rFonts w:ascii="Arial" w:hAnsi="Arial" w:cs="Arial"/>
              </w:rPr>
            </w:pPr>
            <w:r w:rsidRPr="00B16020">
              <w:rPr>
                <w:rFonts w:ascii="Arial" w:hAnsi="Arial" w:cs="Arial"/>
              </w:rPr>
              <w:t xml:space="preserve">INFORME TRIMESTRAL DE MOROSIDAD </w:t>
            </w:r>
          </w:p>
        </w:tc>
        <w:tc>
          <w:tcPr>
            <w:tcW w:w="0" w:type="auto"/>
            <w:vMerge/>
            <w:tcBorders>
              <w:top w:val="nil"/>
              <w:left w:val="single" w:sz="4" w:space="0" w:color="000000"/>
              <w:bottom w:val="nil"/>
              <w:right w:val="single" w:sz="4" w:space="0" w:color="000000"/>
            </w:tcBorders>
          </w:tcPr>
          <w:p w:rsidR="00295FCC" w:rsidRDefault="00295FCC">
            <w:pPr>
              <w:spacing w:after="160" w:line="259" w:lineRule="auto"/>
              <w:ind w:left="0" w:right="0" w:firstLine="0"/>
              <w:jc w:val="left"/>
            </w:pPr>
          </w:p>
        </w:tc>
      </w:tr>
      <w:tr w:rsidR="00295FCC" w:rsidTr="00B16020">
        <w:trPr>
          <w:trHeight w:val="881"/>
        </w:trPr>
        <w:tc>
          <w:tcPr>
            <w:tcW w:w="0" w:type="auto"/>
            <w:vMerge/>
            <w:tcBorders>
              <w:top w:val="nil"/>
              <w:left w:val="single" w:sz="4" w:space="0" w:color="000000"/>
              <w:bottom w:val="single" w:sz="4" w:space="0" w:color="000000"/>
              <w:right w:val="single" w:sz="4" w:space="0" w:color="000000"/>
            </w:tcBorders>
          </w:tcPr>
          <w:p w:rsidR="00295FCC" w:rsidRPr="00B16020" w:rsidRDefault="00295FCC">
            <w:pPr>
              <w:spacing w:after="160" w:line="259" w:lineRule="auto"/>
              <w:ind w:left="0" w:right="0" w:firstLine="0"/>
              <w:jc w:val="left"/>
              <w:rPr>
                <w:rFonts w:ascii="Arial" w:hAnsi="Arial" w:cs="Arial"/>
              </w:rPr>
            </w:pPr>
          </w:p>
        </w:tc>
        <w:tc>
          <w:tcPr>
            <w:tcW w:w="4481" w:type="dxa"/>
            <w:tcBorders>
              <w:top w:val="single" w:sz="4" w:space="0" w:color="000000"/>
              <w:left w:val="single" w:sz="4" w:space="0" w:color="000000"/>
              <w:bottom w:val="single" w:sz="4" w:space="0" w:color="000000"/>
              <w:right w:val="single" w:sz="4" w:space="0" w:color="000000"/>
            </w:tcBorders>
            <w:vAlign w:val="center"/>
          </w:tcPr>
          <w:p w:rsidR="00295FCC" w:rsidRPr="00B16020" w:rsidRDefault="009D6E73">
            <w:pPr>
              <w:spacing w:after="0" w:line="259" w:lineRule="auto"/>
              <w:ind w:left="0" w:right="0" w:firstLine="0"/>
              <w:jc w:val="left"/>
              <w:rPr>
                <w:rFonts w:ascii="Arial" w:hAnsi="Arial" w:cs="Arial"/>
              </w:rPr>
            </w:pPr>
            <w:r w:rsidRPr="00B16020">
              <w:rPr>
                <w:rFonts w:ascii="Arial" w:hAnsi="Arial" w:cs="Arial"/>
              </w:rPr>
              <w:t xml:space="preserve">PERIODO MEDIO DE PAGO A PROVEEDORES </w:t>
            </w:r>
          </w:p>
        </w:tc>
        <w:tc>
          <w:tcPr>
            <w:tcW w:w="0" w:type="auto"/>
            <w:vMerge/>
            <w:tcBorders>
              <w:top w:val="nil"/>
              <w:left w:val="single" w:sz="4" w:space="0" w:color="000000"/>
              <w:bottom w:val="single" w:sz="4" w:space="0" w:color="000000"/>
              <w:right w:val="single" w:sz="4" w:space="0" w:color="000000"/>
            </w:tcBorders>
          </w:tcPr>
          <w:p w:rsidR="00295FCC" w:rsidRDefault="00295FCC">
            <w:pPr>
              <w:spacing w:after="160" w:line="259" w:lineRule="auto"/>
              <w:ind w:left="0" w:right="0" w:firstLine="0"/>
              <w:jc w:val="left"/>
            </w:pPr>
          </w:p>
        </w:tc>
      </w:tr>
    </w:tbl>
    <w:p w:rsidR="00295FCC" w:rsidRDefault="009D6E73">
      <w:pPr>
        <w:spacing w:after="0" w:line="259" w:lineRule="auto"/>
        <w:ind w:left="360" w:right="0" w:firstLine="0"/>
        <w:jc w:val="left"/>
      </w:pPr>
      <w:r>
        <w:rPr>
          <w:b/>
        </w:rPr>
        <w:t xml:space="preserve"> </w:t>
      </w:r>
    </w:p>
    <w:p w:rsidR="00295FCC" w:rsidRPr="00DC474D" w:rsidRDefault="009D6E73" w:rsidP="000F0DDE">
      <w:pPr>
        <w:spacing w:after="120" w:line="259" w:lineRule="auto"/>
        <w:ind w:left="0" w:right="0" w:firstLine="567"/>
        <w:rPr>
          <w:rFonts w:ascii="Arial" w:hAnsi="Arial" w:cs="Arial"/>
        </w:rPr>
      </w:pPr>
      <w:r>
        <w:rPr>
          <w:b/>
        </w:rPr>
        <w:t xml:space="preserve"> </w:t>
      </w:r>
      <w:r w:rsidRPr="00DC474D">
        <w:rPr>
          <w:rFonts w:ascii="Arial" w:hAnsi="Arial" w:cs="Arial"/>
          <w:b/>
        </w:rPr>
        <w:t>Nota</w:t>
      </w:r>
      <w:r w:rsidR="00DC474D" w:rsidRPr="00DC474D">
        <w:rPr>
          <w:rFonts w:ascii="Arial" w:hAnsi="Arial" w:cs="Arial"/>
          <w:b/>
        </w:rPr>
        <w:t>: información T</w:t>
      </w:r>
      <w:r w:rsidRPr="00DC474D">
        <w:rPr>
          <w:rFonts w:ascii="Arial" w:hAnsi="Arial" w:cs="Arial"/>
          <w:b/>
        </w:rPr>
        <w:t>rimestral</w:t>
      </w:r>
      <w:r w:rsidR="00DC474D" w:rsidRPr="00DC474D">
        <w:rPr>
          <w:rFonts w:ascii="Arial" w:hAnsi="Arial" w:cs="Arial"/>
          <w:b/>
        </w:rPr>
        <w:t xml:space="preserve"> </w:t>
      </w:r>
      <w:r w:rsidRPr="00DC474D">
        <w:rPr>
          <w:rFonts w:ascii="Arial" w:hAnsi="Arial" w:cs="Arial"/>
          <w:b/>
        </w:rPr>
        <w:t>Corporaciones Locales de población no superior a 5.000 habitantes:</w:t>
      </w:r>
      <w:r w:rsidRPr="00DC474D">
        <w:rPr>
          <w:rFonts w:ascii="Arial" w:hAnsi="Arial" w:cs="Arial"/>
          <w:color w:val="FF0000"/>
        </w:rPr>
        <w:t xml:space="preserve">  </w:t>
      </w:r>
    </w:p>
    <w:p w:rsidR="00295FCC" w:rsidRPr="00DC474D" w:rsidRDefault="009D6E73" w:rsidP="000F0DDE">
      <w:pPr>
        <w:spacing w:after="120" w:line="250" w:lineRule="auto"/>
        <w:ind w:left="11" w:right="0" w:firstLine="556"/>
        <w:rPr>
          <w:rFonts w:ascii="Arial" w:hAnsi="Arial" w:cs="Arial"/>
        </w:rPr>
      </w:pPr>
      <w:r w:rsidRPr="00DC474D">
        <w:rPr>
          <w:rFonts w:ascii="Arial" w:hAnsi="Arial" w:cs="Arial"/>
          <w:b/>
        </w:rPr>
        <w:t xml:space="preserve"> </w:t>
      </w:r>
      <w:r w:rsidR="00DC474D" w:rsidRPr="00DC474D">
        <w:rPr>
          <w:rFonts w:ascii="Arial" w:hAnsi="Arial" w:cs="Arial"/>
          <w:b/>
        </w:rPr>
        <w:t xml:space="preserve">1.- </w:t>
      </w:r>
      <w:r w:rsidRPr="00DC474D">
        <w:rPr>
          <w:rFonts w:ascii="Arial" w:hAnsi="Arial" w:cs="Arial"/>
          <w:b/>
        </w:rPr>
        <w:t>Ejecución trimestral del presupuesto:</w:t>
      </w:r>
      <w:r w:rsidRPr="00DC474D">
        <w:rPr>
          <w:rFonts w:ascii="Arial" w:hAnsi="Arial" w:cs="Arial"/>
        </w:rPr>
        <w:t xml:space="preserve"> en los tres primeros trimestres da cada año, sólo remiten la información relativa al Calendario y presupuesto d</w:t>
      </w:r>
      <w:r w:rsidR="00DC474D">
        <w:rPr>
          <w:rFonts w:ascii="Arial" w:hAnsi="Arial" w:cs="Arial"/>
        </w:rPr>
        <w:t>e tesorería,</w:t>
      </w:r>
      <w:r w:rsidRPr="00DC474D">
        <w:rPr>
          <w:rFonts w:ascii="Arial" w:hAnsi="Arial" w:cs="Arial"/>
        </w:rPr>
        <w:t xml:space="preserve"> deuda viva y su estimación en los próximos diez años. En el cuarto trimestre, remiten toda la información. Al acceder a la aplicación en la OVEELL figura la información que se ha de remitir. </w:t>
      </w:r>
    </w:p>
    <w:p w:rsidR="00295FCC" w:rsidRPr="00DC474D" w:rsidRDefault="009D6E73" w:rsidP="000F0DDE">
      <w:pPr>
        <w:spacing w:after="120" w:line="250" w:lineRule="auto"/>
        <w:ind w:left="11" w:right="0" w:firstLine="556"/>
        <w:rPr>
          <w:rFonts w:ascii="Arial" w:hAnsi="Arial" w:cs="Arial"/>
        </w:rPr>
      </w:pPr>
      <w:r w:rsidRPr="000F0DDE">
        <w:rPr>
          <w:rFonts w:ascii="Arial" w:hAnsi="Arial" w:cs="Arial"/>
          <w:b/>
        </w:rPr>
        <w:t xml:space="preserve"> </w:t>
      </w:r>
      <w:r w:rsidR="000F0DDE" w:rsidRPr="000F0DDE">
        <w:rPr>
          <w:rFonts w:ascii="Arial" w:hAnsi="Arial" w:cs="Arial"/>
          <w:b/>
        </w:rPr>
        <w:t>2.-</w:t>
      </w:r>
      <w:r w:rsidR="000F0DDE">
        <w:rPr>
          <w:rFonts w:ascii="Arial" w:hAnsi="Arial" w:cs="Arial"/>
          <w:b/>
        </w:rPr>
        <w:t xml:space="preserve"> </w:t>
      </w:r>
      <w:r w:rsidRPr="000F0DDE">
        <w:rPr>
          <w:rFonts w:ascii="Arial" w:hAnsi="Arial" w:cs="Arial"/>
          <w:b/>
        </w:rPr>
        <w:t>Informe trimestral de morosidad:</w:t>
      </w:r>
      <w:r w:rsidRPr="00DC474D">
        <w:rPr>
          <w:rFonts w:ascii="Arial" w:hAnsi="Arial" w:cs="Arial"/>
        </w:rPr>
        <w:t xml:space="preserve"> están excluidas de remitir la información en los tres primeros trimestres. Remiten el 4º trimestre. </w:t>
      </w:r>
    </w:p>
    <w:p w:rsidR="00295FCC" w:rsidRPr="00DC474D" w:rsidRDefault="009D6E73" w:rsidP="000F0DDE">
      <w:pPr>
        <w:spacing w:after="120" w:line="250" w:lineRule="auto"/>
        <w:ind w:left="11" w:right="0" w:firstLine="556"/>
        <w:rPr>
          <w:rFonts w:ascii="Arial" w:hAnsi="Arial" w:cs="Arial"/>
        </w:rPr>
      </w:pPr>
      <w:r w:rsidRPr="00DC474D">
        <w:rPr>
          <w:rFonts w:ascii="Arial" w:hAnsi="Arial" w:cs="Arial"/>
        </w:rPr>
        <w:t xml:space="preserve">  Sin perjuicio de que al MINHAFP solo remiten el 4º trimestre, hay que recordar que conforme al art. 4 de la Ley 15/2010, de 5 de julio, de modificación de la Ley 3/2004, de 29 de diciembre, por la que se establecen medidas de lucha contra la morosidad en las operaciones comerciales, dicho informe ha de elaborarse cada trimestre, dar cuenta al Pleno y remitirse al MINHAFP y la Comunidad Autónoma que tenga atribuida la tutela financiera de las Entidades Locales. Como comentamos, y por lo que respecta a la remisión al MINHAFP, las Corporaciones locales de menos de 5000 habitantes, solo están excluidas de remitir los informes de morosidad de los 3 primeros trimestres. </w:t>
      </w:r>
    </w:p>
    <w:p w:rsidR="00295FCC" w:rsidRPr="00DC474D" w:rsidRDefault="009D6E73" w:rsidP="000F0DDE">
      <w:pPr>
        <w:spacing w:after="120" w:line="250" w:lineRule="auto"/>
        <w:ind w:left="11" w:right="0" w:firstLine="556"/>
        <w:rPr>
          <w:rFonts w:ascii="Arial" w:hAnsi="Arial" w:cs="Arial"/>
        </w:rPr>
      </w:pPr>
      <w:r w:rsidRPr="000F0DDE">
        <w:rPr>
          <w:rFonts w:ascii="Arial" w:hAnsi="Arial" w:cs="Arial"/>
          <w:b/>
        </w:rPr>
        <w:t xml:space="preserve"> </w:t>
      </w:r>
      <w:r w:rsidR="000F0DDE" w:rsidRPr="000F0DDE">
        <w:rPr>
          <w:rFonts w:ascii="Arial" w:hAnsi="Arial" w:cs="Arial"/>
          <w:b/>
        </w:rPr>
        <w:t xml:space="preserve">3.- </w:t>
      </w:r>
      <w:r w:rsidRPr="000F0DDE">
        <w:rPr>
          <w:rFonts w:ascii="Arial" w:hAnsi="Arial" w:cs="Arial"/>
          <w:b/>
        </w:rPr>
        <w:t>Periodo medio de pago:</w:t>
      </w:r>
      <w:r w:rsidRPr="00DC474D">
        <w:rPr>
          <w:rFonts w:ascii="Arial" w:hAnsi="Arial" w:cs="Arial"/>
        </w:rPr>
        <w:t xml:space="preserve"> remiten la información todos los trimestres.   </w:t>
      </w:r>
    </w:p>
    <w:p w:rsidR="00295FCC" w:rsidRPr="000F0DDE" w:rsidRDefault="009D6E73" w:rsidP="00616D11">
      <w:pPr>
        <w:spacing w:after="0" w:line="259" w:lineRule="auto"/>
        <w:ind w:left="360" w:right="0" w:firstLine="0"/>
        <w:jc w:val="left"/>
        <w:rPr>
          <w:rFonts w:ascii="Arial" w:hAnsi="Arial" w:cs="Arial"/>
        </w:rPr>
      </w:pPr>
      <w:r>
        <w:t xml:space="preserve"> </w:t>
      </w:r>
      <w:r w:rsidRPr="000F0DDE">
        <w:rPr>
          <w:rFonts w:ascii="Arial" w:hAnsi="Arial" w:cs="Arial"/>
          <w:b/>
        </w:rPr>
        <w:t>Nota: Si la Entidad cuenta con Plan de Ajuste o Plan económico</w:t>
      </w:r>
      <w:r w:rsidR="000F0DDE">
        <w:rPr>
          <w:rFonts w:ascii="Arial" w:hAnsi="Arial" w:cs="Arial"/>
          <w:b/>
        </w:rPr>
        <w:t>-</w:t>
      </w:r>
      <w:r w:rsidRPr="000F0DDE">
        <w:rPr>
          <w:rFonts w:ascii="Arial" w:hAnsi="Arial" w:cs="Arial"/>
          <w:b/>
        </w:rPr>
        <w:t xml:space="preserve">financiero, </w:t>
      </w:r>
      <w:r w:rsidRPr="000F0DDE">
        <w:rPr>
          <w:rFonts w:ascii="Arial" w:hAnsi="Arial" w:cs="Arial"/>
        </w:rPr>
        <w:t xml:space="preserve">ver la información a remitir en el siguiente apartado. </w:t>
      </w:r>
    </w:p>
    <w:p w:rsidR="00295FCC" w:rsidRDefault="009D6E73">
      <w:pPr>
        <w:spacing w:after="0" w:line="259" w:lineRule="auto"/>
        <w:ind w:left="360" w:right="0" w:firstLine="0"/>
        <w:jc w:val="left"/>
      </w:pPr>
      <w:r>
        <w:t xml:space="preserve"> </w:t>
      </w: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04"/>
      </w:tblGrid>
      <w:tr w:rsidR="0049197C" w:rsidTr="001B10EF">
        <w:tc>
          <w:tcPr>
            <w:tcW w:w="9204" w:type="dxa"/>
            <w:tcBorders>
              <w:top w:val="single" w:sz="4" w:space="0" w:color="auto"/>
              <w:left w:val="nil"/>
              <w:bottom w:val="single" w:sz="4" w:space="0" w:color="auto"/>
              <w:right w:val="nil"/>
            </w:tcBorders>
            <w:shd w:val="clear" w:color="auto" w:fill="FFFFFF" w:themeFill="background1"/>
          </w:tcPr>
          <w:p w:rsidR="0049197C" w:rsidRPr="00E30FF9" w:rsidRDefault="009D6E73" w:rsidP="0049197C">
            <w:pPr>
              <w:spacing w:before="240" w:after="240" w:line="250" w:lineRule="auto"/>
              <w:ind w:left="284" w:right="0" w:hanging="284"/>
              <w:jc w:val="center"/>
              <w:rPr>
                <w:rFonts w:ascii="Arial" w:hAnsi="Arial" w:cs="Arial"/>
              </w:rPr>
            </w:pPr>
            <w:r>
              <w:t xml:space="preserve"> </w:t>
            </w:r>
            <w:r w:rsidR="0049197C">
              <w:rPr>
                <w:rFonts w:ascii="Arial" w:hAnsi="Arial" w:cs="Arial"/>
                <w:b/>
                <w:color w:val="auto"/>
                <w:u w:color="0000FF"/>
              </w:rPr>
              <w:t>2</w:t>
            </w:r>
            <w:r w:rsidR="0049197C" w:rsidRPr="00E30FF9">
              <w:rPr>
                <w:rFonts w:ascii="Arial" w:hAnsi="Arial" w:cs="Arial"/>
                <w:b/>
                <w:color w:val="auto"/>
                <w:u w:color="0000FF"/>
              </w:rPr>
              <w:t xml:space="preserve">.- </w:t>
            </w:r>
            <w:r w:rsidR="0049197C">
              <w:rPr>
                <w:rFonts w:ascii="Arial" w:hAnsi="Arial" w:cs="Arial"/>
                <w:b/>
                <w:color w:val="auto"/>
                <w:u w:color="0000FF"/>
              </w:rPr>
              <w:t>OBLIGACIONES DE REMISIÓN NO PERIÓDICA</w:t>
            </w:r>
          </w:p>
        </w:tc>
      </w:tr>
    </w:tbl>
    <w:p w:rsidR="0049197C" w:rsidRDefault="0049197C">
      <w:pPr>
        <w:spacing w:after="98" w:line="259" w:lineRule="auto"/>
        <w:ind w:left="427" w:right="0" w:firstLine="0"/>
        <w:jc w:val="left"/>
      </w:pPr>
    </w:p>
    <w:p w:rsidR="00B22051" w:rsidRPr="00B22051" w:rsidRDefault="004B02CB" w:rsidP="004B02CB">
      <w:pPr>
        <w:numPr>
          <w:ilvl w:val="0"/>
          <w:numId w:val="20"/>
        </w:numPr>
        <w:spacing w:after="120" w:line="250" w:lineRule="auto"/>
        <w:ind w:left="584" w:right="0" w:hanging="357"/>
        <w:rPr>
          <w:rFonts w:ascii="Arial" w:hAnsi="Arial" w:cs="Arial"/>
          <w:b/>
        </w:rPr>
      </w:pPr>
      <w:r>
        <w:rPr>
          <w:rFonts w:ascii="Arial" w:hAnsi="Arial" w:cs="Arial"/>
          <w:b/>
        </w:rPr>
        <w:t>MEDIDAS PARA EVITAR EL RIESGO DE INCUMPLIMIENTO</w:t>
      </w:r>
    </w:p>
    <w:p w:rsidR="00295FCC" w:rsidRPr="00616D11" w:rsidRDefault="009D6E73" w:rsidP="00616D11">
      <w:pPr>
        <w:spacing w:after="120" w:line="250" w:lineRule="auto"/>
        <w:ind w:left="11" w:right="0" w:firstLine="556"/>
        <w:rPr>
          <w:rFonts w:ascii="Arial" w:hAnsi="Arial" w:cs="Arial"/>
        </w:rPr>
      </w:pPr>
      <w:r w:rsidRPr="00616D11">
        <w:rPr>
          <w:rFonts w:ascii="Arial" w:hAnsi="Arial" w:cs="Arial"/>
        </w:rPr>
        <w:t xml:space="preserve">Art 8. En el plazo de un mes desde la formulación de la advertencia por parte del Gobierno, de acuerdo con lo previsto en el artículo 19 </w:t>
      </w:r>
      <w:r w:rsidR="009600B7">
        <w:rPr>
          <w:rFonts w:ascii="Arial" w:hAnsi="Arial" w:cs="Arial"/>
        </w:rPr>
        <w:t>LOEPSF</w:t>
      </w:r>
      <w:r w:rsidRPr="00616D11">
        <w:rPr>
          <w:rFonts w:ascii="Arial" w:hAnsi="Arial" w:cs="Arial"/>
        </w:rPr>
        <w:t xml:space="preserve">, la Corporación Local advertida comunicará al Ministerio de Hacienda y Administraciones Públicas las medidas concretas que se hayan adoptado o se vayan a adoptar, identificando su naturaleza, el plazo de entrada en vigor y el resultado esperado de su eficacia, para evitar el riesgo de incumplimiento del objetivo de estabilidad presupuestaria, del objetivo de deuda pública o de la regla de gasto, según proceda. </w:t>
      </w:r>
    </w:p>
    <w:p w:rsidR="00295FCC" w:rsidRDefault="009D6E73">
      <w:pPr>
        <w:spacing w:after="0" w:line="259" w:lineRule="auto"/>
        <w:ind w:left="360" w:right="0" w:firstLine="0"/>
        <w:jc w:val="left"/>
      </w:pPr>
      <w:r>
        <w:t xml:space="preserve"> </w:t>
      </w:r>
    </w:p>
    <w:p w:rsidR="00295FCC" w:rsidRDefault="009D6E73">
      <w:pPr>
        <w:spacing w:after="98" w:line="259" w:lineRule="auto"/>
        <w:ind w:left="360" w:right="0" w:firstLine="0"/>
        <w:jc w:val="left"/>
      </w:pPr>
      <w:r>
        <w:lastRenderedPageBreak/>
        <w:t xml:space="preserve"> </w:t>
      </w:r>
    </w:p>
    <w:p w:rsidR="004B02CB" w:rsidRDefault="004B02CB">
      <w:pPr>
        <w:spacing w:after="0" w:line="259" w:lineRule="auto"/>
        <w:ind w:left="242" w:right="0" w:firstLine="0"/>
        <w:jc w:val="left"/>
        <w:rPr>
          <w:b/>
          <w:color w:val="0000FF"/>
        </w:rPr>
      </w:pPr>
    </w:p>
    <w:p w:rsidR="00B22051" w:rsidRPr="00B22051" w:rsidRDefault="004B02CB" w:rsidP="004B02CB">
      <w:pPr>
        <w:numPr>
          <w:ilvl w:val="0"/>
          <w:numId w:val="20"/>
        </w:numPr>
        <w:spacing w:after="120" w:line="250" w:lineRule="auto"/>
        <w:ind w:left="584" w:right="0" w:hanging="357"/>
        <w:rPr>
          <w:rFonts w:ascii="Arial" w:hAnsi="Arial" w:cs="Arial"/>
          <w:b/>
        </w:rPr>
      </w:pPr>
      <w:r>
        <w:rPr>
          <w:rFonts w:ascii="Arial" w:hAnsi="Arial" w:cs="Arial"/>
          <w:b/>
        </w:rPr>
        <w:t>CORPORACIONES LOCALES CON PLAN ECONÓMICO-FINANCIERO</w:t>
      </w:r>
    </w:p>
    <w:p w:rsidR="00295FCC" w:rsidRPr="00342598" w:rsidRDefault="009D6E73" w:rsidP="004B02CB">
      <w:pPr>
        <w:spacing w:after="120" w:line="250" w:lineRule="auto"/>
        <w:ind w:left="11" w:right="0" w:firstLine="556"/>
        <w:rPr>
          <w:rFonts w:ascii="Arial" w:hAnsi="Arial" w:cs="Arial"/>
          <w:i/>
        </w:rPr>
      </w:pPr>
      <w:r w:rsidRPr="004B02CB">
        <w:rPr>
          <w:rFonts w:ascii="Arial" w:hAnsi="Arial" w:cs="Arial"/>
        </w:rPr>
        <w:t xml:space="preserve">El articulo 9.2 obliga a que la Corporación Local, en el plazo de cinco días naturales desde la aprobación del plan económico-financiero lo remitirá al Ministerio de Hacienda y Administraciones Públicas </w:t>
      </w:r>
      <w:r w:rsidRPr="00342598">
        <w:rPr>
          <w:rFonts w:ascii="Arial" w:hAnsi="Arial" w:cs="Arial"/>
          <w:i/>
        </w:rPr>
        <w:t>(la remisión se hace a través de la aplicación</w:t>
      </w:r>
      <w:r w:rsidR="00342598">
        <w:rPr>
          <w:rFonts w:ascii="Arial" w:hAnsi="Arial" w:cs="Arial"/>
          <w:i/>
        </w:rPr>
        <w:t xml:space="preserve"> PEFEL2 existente en la OVEELL). </w:t>
      </w:r>
      <w:r w:rsidRPr="00342598">
        <w:rPr>
          <w:rFonts w:ascii="Arial" w:hAnsi="Arial" w:cs="Arial"/>
          <w:i/>
        </w:rPr>
        <w:t>Hay que tener en cuenta que también se comunicará al órgano que tenga atribuida la tutela financiera</w:t>
      </w:r>
      <w:r w:rsidR="00ED13E3">
        <w:rPr>
          <w:rFonts w:ascii="Arial" w:hAnsi="Arial" w:cs="Arial"/>
          <w:i/>
        </w:rPr>
        <w:t xml:space="preserve"> </w:t>
      </w:r>
      <w:r w:rsidR="009053B7">
        <w:rPr>
          <w:rFonts w:ascii="Arial" w:hAnsi="Arial" w:cs="Arial"/>
          <w:i/>
        </w:rPr>
        <w:t>(</w:t>
      </w:r>
      <w:r w:rsidR="00ED13E3">
        <w:rPr>
          <w:rFonts w:ascii="Arial" w:hAnsi="Arial" w:cs="Arial"/>
          <w:i/>
        </w:rPr>
        <w:t>art. 21.3 REP).</w:t>
      </w:r>
    </w:p>
    <w:p w:rsidR="00295FCC" w:rsidRPr="004B02CB" w:rsidRDefault="009D6E73" w:rsidP="004B02CB">
      <w:pPr>
        <w:spacing w:after="120" w:line="250" w:lineRule="auto"/>
        <w:ind w:left="11" w:right="0" w:firstLine="556"/>
        <w:rPr>
          <w:rFonts w:ascii="Arial" w:hAnsi="Arial" w:cs="Arial"/>
        </w:rPr>
      </w:pPr>
      <w:r w:rsidRPr="004B02CB">
        <w:rPr>
          <w:rFonts w:ascii="Arial" w:hAnsi="Arial" w:cs="Arial"/>
        </w:rPr>
        <w:t xml:space="preserve">  Se recuerda que </w:t>
      </w:r>
      <w:r w:rsidRPr="00ED13E3">
        <w:rPr>
          <w:rFonts w:ascii="Arial" w:hAnsi="Arial" w:cs="Arial"/>
          <w:b/>
        </w:rPr>
        <w:t xml:space="preserve">en caso de tener un </w:t>
      </w:r>
      <w:r w:rsidRPr="00ED13E3">
        <w:rPr>
          <w:rFonts w:ascii="Arial" w:hAnsi="Arial" w:cs="Arial"/>
        </w:rPr>
        <w:t>PEF en vigor</w:t>
      </w:r>
      <w:r w:rsidRPr="004B02CB">
        <w:rPr>
          <w:rFonts w:ascii="Arial" w:hAnsi="Arial" w:cs="Arial"/>
        </w:rPr>
        <w:t xml:space="preserve"> se debe emitir informe de </w:t>
      </w:r>
      <w:r w:rsidRPr="00ED13E3">
        <w:rPr>
          <w:rFonts w:ascii="Arial" w:hAnsi="Arial" w:cs="Arial"/>
          <w:u w:val="single"/>
        </w:rPr>
        <w:t>seguimiento con periodicidad anual</w:t>
      </w:r>
      <w:r w:rsidRPr="004B02CB">
        <w:rPr>
          <w:rFonts w:ascii="Arial" w:hAnsi="Arial" w:cs="Arial"/>
        </w:rPr>
        <w:t xml:space="preserve"> (para entidades locales no incluidas en arts. 111</w:t>
      </w:r>
      <w:r w:rsidR="0086209C">
        <w:rPr>
          <w:rFonts w:ascii="Arial" w:hAnsi="Arial" w:cs="Arial"/>
        </w:rPr>
        <w:t xml:space="preserve"> y 135 TRLRHL) </w:t>
      </w:r>
      <w:r w:rsidR="0086209C" w:rsidRPr="004B02CB">
        <w:rPr>
          <w:rFonts w:ascii="Arial" w:hAnsi="Arial" w:cs="Arial"/>
        </w:rPr>
        <w:t>en</w:t>
      </w:r>
      <w:r w:rsidRPr="004B02CB">
        <w:rPr>
          <w:rFonts w:ascii="Arial" w:hAnsi="Arial" w:cs="Arial"/>
        </w:rPr>
        <w:t xml:space="preserve"> aplicación de lo dispuesto en el art. 22 del REPEL. Para su remisión al MINHAFP, antes del 31 de marzo, se debe acceder a la aplicación de captura PEFEL2 y en el manual de la aplicación se explica la información a cumplimentar. </w:t>
      </w:r>
    </w:p>
    <w:p w:rsidR="00295FCC" w:rsidRPr="009053B7" w:rsidRDefault="009D6E73" w:rsidP="009053B7">
      <w:pPr>
        <w:spacing w:after="360" w:line="250" w:lineRule="auto"/>
        <w:ind w:left="11" w:right="0" w:firstLine="556"/>
        <w:rPr>
          <w:rFonts w:ascii="Arial" w:hAnsi="Arial" w:cs="Arial"/>
          <w:b/>
        </w:rPr>
      </w:pPr>
      <w:r w:rsidRPr="004B02CB">
        <w:rPr>
          <w:rFonts w:ascii="Arial" w:hAnsi="Arial" w:cs="Arial"/>
        </w:rPr>
        <w:t xml:space="preserve"> </w:t>
      </w:r>
      <w:r w:rsidRPr="009053B7">
        <w:rPr>
          <w:rFonts w:ascii="Arial" w:hAnsi="Arial" w:cs="Arial"/>
          <w:b/>
        </w:rPr>
        <w:t xml:space="preserve">Con motivo de la suspensión de las reglas fiscales, los PEF que estuvieran aprobados y vigentes han quedado superados y perdido su vigencia. </w:t>
      </w:r>
    </w:p>
    <w:p w:rsidR="00B22051" w:rsidRPr="00B22051" w:rsidRDefault="009D6E73" w:rsidP="00AD2A38">
      <w:pPr>
        <w:numPr>
          <w:ilvl w:val="0"/>
          <w:numId w:val="20"/>
        </w:numPr>
        <w:spacing w:after="120" w:line="250" w:lineRule="auto"/>
        <w:ind w:left="584" w:right="0" w:hanging="357"/>
        <w:rPr>
          <w:rFonts w:ascii="Arial" w:hAnsi="Arial" w:cs="Arial"/>
          <w:b/>
        </w:rPr>
      </w:pPr>
      <w:r w:rsidRPr="00AD2A38">
        <w:rPr>
          <w:rFonts w:ascii="Arial" w:hAnsi="Arial" w:cs="Arial"/>
          <w:b/>
        </w:rPr>
        <w:t xml:space="preserve"> </w:t>
      </w:r>
      <w:r w:rsidR="00AD2A38">
        <w:rPr>
          <w:rFonts w:ascii="Arial" w:hAnsi="Arial" w:cs="Arial"/>
          <w:b/>
        </w:rPr>
        <w:t>ADMINISTRA</w:t>
      </w:r>
      <w:r w:rsidR="009053B7">
        <w:rPr>
          <w:rFonts w:ascii="Arial" w:hAnsi="Arial" w:cs="Arial"/>
          <w:b/>
        </w:rPr>
        <w:t>CIONES CON PLAN DE AJUSTE ACORDADO CON EL MINHAP</w:t>
      </w:r>
    </w:p>
    <w:p w:rsidR="00295FCC" w:rsidRPr="00AD2A38" w:rsidRDefault="009D6E73" w:rsidP="00AD2A38">
      <w:pPr>
        <w:spacing w:after="120" w:line="250" w:lineRule="auto"/>
        <w:ind w:left="11" w:right="0" w:firstLine="556"/>
        <w:rPr>
          <w:rFonts w:ascii="Arial" w:hAnsi="Arial" w:cs="Arial"/>
        </w:rPr>
      </w:pPr>
      <w:r w:rsidRPr="00AD2A38">
        <w:rPr>
          <w:rFonts w:ascii="Arial" w:hAnsi="Arial" w:cs="Arial"/>
        </w:rPr>
        <w:t>Art</w:t>
      </w:r>
      <w:r w:rsidR="00AD2A38">
        <w:rPr>
          <w:rFonts w:ascii="Arial" w:hAnsi="Arial" w:cs="Arial"/>
        </w:rPr>
        <w:t>.</w:t>
      </w:r>
      <w:r w:rsidRPr="00AD2A38">
        <w:rPr>
          <w:rFonts w:ascii="Arial" w:hAnsi="Arial" w:cs="Arial"/>
        </w:rPr>
        <w:t xml:space="preserve"> 10.1 exige antes del día 30 del primer mes siguiente a la finalización de cada trimestre</w:t>
      </w:r>
      <w:r w:rsidR="00AD2A38">
        <w:rPr>
          <w:rFonts w:ascii="Arial" w:hAnsi="Arial" w:cs="Arial"/>
        </w:rPr>
        <w:t xml:space="preserve"> información</w:t>
      </w:r>
      <w:r w:rsidRPr="00AD2A38">
        <w:rPr>
          <w:rFonts w:ascii="Arial" w:hAnsi="Arial" w:cs="Arial"/>
        </w:rPr>
        <w:t xml:space="preserve"> sobre diversos contenidos. </w:t>
      </w:r>
    </w:p>
    <w:p w:rsidR="00295FCC" w:rsidRPr="00AD2A38" w:rsidRDefault="009D6E73" w:rsidP="00AD2A38">
      <w:pPr>
        <w:spacing w:after="120" w:line="250" w:lineRule="auto"/>
        <w:ind w:left="11" w:right="0" w:firstLine="556"/>
        <w:rPr>
          <w:rFonts w:ascii="Arial" w:hAnsi="Arial" w:cs="Arial"/>
        </w:rPr>
      </w:pPr>
      <w:r w:rsidRPr="00AD2A38">
        <w:rPr>
          <w:rFonts w:ascii="Arial" w:hAnsi="Arial" w:cs="Arial"/>
        </w:rPr>
        <w:t>Art</w:t>
      </w:r>
      <w:r w:rsidR="00AD2A38">
        <w:rPr>
          <w:rFonts w:ascii="Arial" w:hAnsi="Arial" w:cs="Arial"/>
        </w:rPr>
        <w:t>.</w:t>
      </w:r>
      <w:r w:rsidRPr="00AD2A38">
        <w:rPr>
          <w:rFonts w:ascii="Arial" w:hAnsi="Arial" w:cs="Arial"/>
        </w:rPr>
        <w:t xml:space="preserve"> 10.3 informe sobre la ejecución del plan de ajuste, antes del día 31 de enero de cada año </w:t>
      </w:r>
    </w:p>
    <w:p w:rsidR="00AD2A38" w:rsidRDefault="009D6E73" w:rsidP="00AD2A38">
      <w:pPr>
        <w:spacing w:after="360" w:line="250" w:lineRule="auto"/>
        <w:ind w:left="11" w:right="0" w:firstLine="556"/>
      </w:pPr>
      <w:r w:rsidRPr="00AD2A38">
        <w:rPr>
          <w:rFonts w:ascii="Arial" w:hAnsi="Arial" w:cs="Arial"/>
        </w:rPr>
        <w:t>Estos plazos son para Entidades no incluidas en los arts. 111 y 135 TRLRHL</w:t>
      </w:r>
      <w:r>
        <w:t xml:space="preserve">. </w:t>
      </w:r>
      <w:r>
        <w:rPr>
          <w:i/>
        </w:rPr>
        <w:t xml:space="preserve"> </w:t>
      </w:r>
    </w:p>
    <w:p w:rsidR="00295FCC" w:rsidRPr="00AD2A38" w:rsidRDefault="009D6E73" w:rsidP="00AD2A38">
      <w:pPr>
        <w:numPr>
          <w:ilvl w:val="0"/>
          <w:numId w:val="20"/>
        </w:numPr>
        <w:spacing w:after="120" w:line="250" w:lineRule="auto"/>
        <w:ind w:left="584" w:right="0" w:hanging="357"/>
        <w:rPr>
          <w:rFonts w:ascii="Arial" w:hAnsi="Arial" w:cs="Arial"/>
          <w:b/>
        </w:rPr>
      </w:pPr>
      <w:r w:rsidRPr="00AD2A38">
        <w:rPr>
          <w:rFonts w:ascii="Arial" w:hAnsi="Arial" w:cs="Arial"/>
          <w:b/>
        </w:rPr>
        <w:t>INVENTARIO DE</w:t>
      </w:r>
      <w:r w:rsidR="006D56CF">
        <w:rPr>
          <w:rFonts w:ascii="Arial" w:hAnsi="Arial" w:cs="Arial"/>
          <w:b/>
        </w:rPr>
        <w:t xml:space="preserve"> ENTES DEL SECTOR PÚBLICO LOCAL</w:t>
      </w:r>
    </w:p>
    <w:p w:rsidR="00295FCC" w:rsidRDefault="009D6E73" w:rsidP="006D56CF">
      <w:pPr>
        <w:spacing w:after="360" w:line="250" w:lineRule="auto"/>
        <w:ind w:left="11" w:right="0" w:firstLine="556"/>
      </w:pPr>
      <w:r w:rsidRPr="00AD2A38">
        <w:rPr>
          <w:rFonts w:ascii="Arial" w:hAnsi="Arial" w:cs="Arial"/>
        </w:rPr>
        <w:t xml:space="preserve">  Art. 11. En el plazo máximo de un mes a contar desde la creación, extinción o modificación institucional, estatutaria o financiera de la entidad, la intervención de la Corporación Local comunicará al Ministerio de Hacienda y Administraciones Publicas el detalle que en cada caso sea necesario para el mantenimiento de la Base de Datos General de Entidades Locales y del Inventario de Entes del Sector Público Local. </w:t>
      </w:r>
      <w:r>
        <w:rPr>
          <w:i/>
        </w:rPr>
        <w:t xml:space="preserve"> </w:t>
      </w:r>
    </w:p>
    <w:p w:rsidR="00295FCC" w:rsidRPr="006D56CF" w:rsidRDefault="009D6E73" w:rsidP="006D56CF">
      <w:pPr>
        <w:numPr>
          <w:ilvl w:val="0"/>
          <w:numId w:val="20"/>
        </w:numPr>
        <w:spacing w:after="120" w:line="250" w:lineRule="auto"/>
        <w:ind w:left="584" w:right="0" w:hanging="357"/>
        <w:rPr>
          <w:rFonts w:ascii="Arial" w:hAnsi="Arial" w:cs="Arial"/>
          <w:b/>
        </w:rPr>
      </w:pPr>
      <w:r w:rsidRPr="006D56CF">
        <w:rPr>
          <w:rFonts w:ascii="Arial" w:hAnsi="Arial" w:cs="Arial"/>
          <w:b/>
        </w:rPr>
        <w:t xml:space="preserve">INFORMACIÓN POR INCUMPLIMIENTO DEL PERÍODO MEDIO DE PAGO A PROVEEDORES </w:t>
      </w:r>
    </w:p>
    <w:p w:rsidR="00295FCC" w:rsidRDefault="009D6E73" w:rsidP="006D56CF">
      <w:pPr>
        <w:spacing w:after="360" w:line="250" w:lineRule="auto"/>
        <w:ind w:left="11" w:right="0" w:firstLine="556"/>
      </w:pPr>
      <w:r>
        <w:rPr>
          <w:b/>
          <w:color w:val="0000FF"/>
        </w:rPr>
        <w:t xml:space="preserve"> </w:t>
      </w:r>
      <w:r w:rsidRPr="006D56CF">
        <w:rPr>
          <w:rFonts w:ascii="Arial" w:hAnsi="Arial" w:cs="Arial"/>
        </w:rPr>
        <w:t xml:space="preserve">Art.11 bis.1, Cuando el período medio de pago a proveedores de una Administración Pública, de acuerdo con los datos publicados, supere el plazo máximo previsto en la normativa sobre morosidad, la Administración deberá incluir, en la actualización de su plan de tesorería inmediatamente posterior a la mencionada publicación, las medidas que contiene </w:t>
      </w:r>
      <w:r w:rsidR="006D56CF">
        <w:rPr>
          <w:rFonts w:ascii="Arial" w:hAnsi="Arial" w:cs="Arial"/>
        </w:rPr>
        <w:t>dicho artículo 11.bis apartado1.</w:t>
      </w:r>
      <w:r>
        <w:t xml:space="preserve"> </w:t>
      </w:r>
    </w:p>
    <w:p w:rsidR="00295FCC" w:rsidRPr="006D56CF" w:rsidRDefault="009D6E73" w:rsidP="006D56CF">
      <w:pPr>
        <w:numPr>
          <w:ilvl w:val="0"/>
          <w:numId w:val="20"/>
        </w:numPr>
        <w:spacing w:after="120" w:line="250" w:lineRule="auto"/>
        <w:ind w:left="584" w:right="0" w:hanging="357"/>
        <w:rPr>
          <w:rFonts w:ascii="Arial" w:hAnsi="Arial" w:cs="Arial"/>
          <w:b/>
        </w:rPr>
      </w:pPr>
      <w:r w:rsidRPr="006D56CF">
        <w:rPr>
          <w:rFonts w:ascii="Arial" w:hAnsi="Arial" w:cs="Arial"/>
          <w:b/>
        </w:rPr>
        <w:t>INFORMACIÓN REFERIDAS A OPERACIONES DE PRÉSTAMO Y EMISIONES DE D</w:t>
      </w:r>
      <w:r w:rsidR="006D56CF">
        <w:rPr>
          <w:rFonts w:ascii="Arial" w:hAnsi="Arial" w:cs="Arial"/>
          <w:b/>
        </w:rPr>
        <w:t>EUDA</w:t>
      </w:r>
      <w:r w:rsidRPr="006D56CF">
        <w:rPr>
          <w:rFonts w:ascii="Arial" w:hAnsi="Arial" w:cs="Arial"/>
          <w:b/>
        </w:rPr>
        <w:t xml:space="preserve"> </w:t>
      </w:r>
    </w:p>
    <w:p w:rsidR="00FC1513" w:rsidRDefault="009D6E73" w:rsidP="00A07D69">
      <w:pPr>
        <w:spacing w:after="360" w:line="250" w:lineRule="auto"/>
        <w:ind w:left="11" w:right="0" w:firstLine="556"/>
        <w:rPr>
          <w:rFonts w:ascii="Arial" w:hAnsi="Arial" w:cs="Arial"/>
        </w:rPr>
      </w:pPr>
      <w:r w:rsidRPr="006D56CF">
        <w:rPr>
          <w:rFonts w:ascii="Arial" w:hAnsi="Arial" w:cs="Arial"/>
        </w:rPr>
        <w:t xml:space="preserve"> Art. 17. En el plazo máximo de un mes desde que se suscriba, cancele o modifique, una operación de préstamo, crédito o emisiones de deuda, en todas sus modalidades, los avales y garantías prestados en cualquier clase de crédito, las operaciones de arrendamiento financiero, así </w:t>
      </w:r>
      <w:r w:rsidR="00FC1513">
        <w:rPr>
          <w:rFonts w:ascii="Arial" w:hAnsi="Arial" w:cs="Arial"/>
        </w:rPr>
        <w:t xml:space="preserve"> </w:t>
      </w:r>
      <w:r w:rsidRPr="006D56CF">
        <w:rPr>
          <w:rFonts w:ascii="Arial" w:hAnsi="Arial" w:cs="Arial"/>
        </w:rPr>
        <w:t xml:space="preserve">como </w:t>
      </w:r>
      <w:r w:rsidR="00FC1513">
        <w:rPr>
          <w:rFonts w:ascii="Arial" w:hAnsi="Arial" w:cs="Arial"/>
        </w:rPr>
        <w:t xml:space="preserve"> </w:t>
      </w:r>
      <w:r w:rsidRPr="006D56CF">
        <w:rPr>
          <w:rFonts w:ascii="Arial" w:hAnsi="Arial" w:cs="Arial"/>
        </w:rPr>
        <w:t xml:space="preserve">cualesquiera otras que </w:t>
      </w:r>
      <w:r w:rsidR="00FC1513">
        <w:rPr>
          <w:rFonts w:ascii="Arial" w:hAnsi="Arial" w:cs="Arial"/>
        </w:rPr>
        <w:t xml:space="preserve"> </w:t>
      </w:r>
      <w:r w:rsidRPr="006D56CF">
        <w:rPr>
          <w:rFonts w:ascii="Arial" w:hAnsi="Arial" w:cs="Arial"/>
        </w:rPr>
        <w:t>afecten a la posición financiera</w:t>
      </w:r>
      <w:r w:rsidR="00FC1513">
        <w:rPr>
          <w:rFonts w:ascii="Arial" w:hAnsi="Arial" w:cs="Arial"/>
        </w:rPr>
        <w:t xml:space="preserve"> </w:t>
      </w:r>
      <w:r w:rsidRPr="006D56CF">
        <w:rPr>
          <w:rFonts w:ascii="Arial" w:hAnsi="Arial" w:cs="Arial"/>
        </w:rPr>
        <w:t xml:space="preserve"> futura, concertadas </w:t>
      </w:r>
      <w:r w:rsidR="00FC1513">
        <w:rPr>
          <w:rFonts w:ascii="Arial" w:hAnsi="Arial" w:cs="Arial"/>
        </w:rPr>
        <w:t xml:space="preserve"> </w:t>
      </w:r>
      <w:r w:rsidRPr="006D56CF">
        <w:rPr>
          <w:rFonts w:ascii="Arial" w:hAnsi="Arial" w:cs="Arial"/>
        </w:rPr>
        <w:t xml:space="preserve">por las </w:t>
      </w:r>
    </w:p>
    <w:p w:rsidR="00FC1513" w:rsidRDefault="00FC1513" w:rsidP="00A07D69">
      <w:pPr>
        <w:spacing w:after="360" w:line="250" w:lineRule="auto"/>
        <w:ind w:left="11" w:right="0" w:firstLine="556"/>
        <w:rPr>
          <w:rFonts w:ascii="Arial" w:hAnsi="Arial" w:cs="Arial"/>
        </w:rPr>
      </w:pPr>
    </w:p>
    <w:p w:rsidR="00306294" w:rsidRDefault="00306294" w:rsidP="00FC1513">
      <w:pPr>
        <w:spacing w:after="360" w:line="250" w:lineRule="auto"/>
        <w:ind w:left="11" w:right="0" w:hanging="11"/>
        <w:rPr>
          <w:rFonts w:ascii="Arial" w:hAnsi="Arial" w:cs="Arial"/>
        </w:rPr>
      </w:pPr>
    </w:p>
    <w:p w:rsidR="00295FCC" w:rsidRDefault="007A35AE" w:rsidP="00FC1513">
      <w:pPr>
        <w:spacing w:after="360" w:line="250" w:lineRule="auto"/>
        <w:ind w:left="11" w:right="0" w:hanging="11"/>
      </w:pPr>
      <w:r>
        <w:rPr>
          <w:rFonts w:ascii="Arial" w:hAnsi="Arial" w:cs="Arial"/>
        </w:rPr>
        <w:t xml:space="preserve">Corporaciones </w:t>
      </w:r>
      <w:r w:rsidR="009D6E73" w:rsidRPr="006D56CF">
        <w:rPr>
          <w:rFonts w:ascii="Arial" w:hAnsi="Arial" w:cs="Arial"/>
        </w:rPr>
        <w:t xml:space="preserve">Locales o sus entidades dependientes incluidas en el ámbito subjetivo de esta Orden, se comunicará al Ministerio de Hacienda y Administraciones Publicas las condiciones de la operación y su cuadro de amortización. </w:t>
      </w:r>
      <w:r w:rsidR="009D6E73">
        <w:t xml:space="preserve"> </w:t>
      </w:r>
    </w:p>
    <w:p w:rsidR="00295FCC" w:rsidRDefault="009D6E73" w:rsidP="00365764">
      <w:pPr>
        <w:numPr>
          <w:ilvl w:val="0"/>
          <w:numId w:val="20"/>
        </w:numPr>
        <w:spacing w:after="600" w:line="250" w:lineRule="auto"/>
        <w:ind w:left="584" w:right="0" w:hanging="357"/>
        <w:rPr>
          <w:rFonts w:ascii="Arial" w:hAnsi="Arial" w:cs="Arial"/>
          <w:b/>
        </w:rPr>
      </w:pPr>
      <w:r w:rsidRPr="00A07D69">
        <w:rPr>
          <w:rFonts w:ascii="Arial" w:hAnsi="Arial" w:cs="Arial"/>
          <w:b/>
        </w:rPr>
        <w:t xml:space="preserve">CUALQUIER OTRA INFORMACIÓN A REQUERIMIENTO DEL MINHAFP </w:t>
      </w:r>
      <w:r w:rsidR="00A07D69">
        <w:rPr>
          <w:rFonts w:ascii="Arial" w:hAnsi="Arial" w:cs="Arial"/>
          <w:b/>
        </w:rPr>
        <w:t>(</w:t>
      </w:r>
      <w:r w:rsidR="00A07D69" w:rsidRPr="00A07D69">
        <w:rPr>
          <w:rFonts w:ascii="Arial" w:hAnsi="Arial" w:cs="Arial"/>
          <w:b/>
        </w:rPr>
        <w:t>Art, 12)</w:t>
      </w:r>
      <w:r w:rsidRPr="00A07D69">
        <w:rPr>
          <w:rFonts w:ascii="Arial" w:hAnsi="Arial" w:cs="Arial"/>
          <w:b/>
        </w:rPr>
        <w:t xml:space="preserve"> </w:t>
      </w: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p w:rsidR="00FC1513" w:rsidRDefault="00FC1513" w:rsidP="00FC1513">
      <w:pPr>
        <w:spacing w:after="600" w:line="250" w:lineRule="auto"/>
        <w:ind w:right="0"/>
        <w:rPr>
          <w:rFonts w:ascii="Arial" w:hAnsi="Arial" w:cs="Arial"/>
          <w:b/>
        </w:rPr>
      </w:pP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74"/>
      </w:tblGrid>
      <w:tr w:rsidR="00365764" w:rsidTr="001B10EF">
        <w:tc>
          <w:tcPr>
            <w:tcW w:w="9174" w:type="dxa"/>
            <w:shd w:val="clear" w:color="auto" w:fill="D9D9D9" w:themeFill="background1" w:themeFillShade="D9"/>
          </w:tcPr>
          <w:p w:rsidR="00365764" w:rsidRDefault="00365764" w:rsidP="001B6BD7">
            <w:pPr>
              <w:spacing w:before="120" w:after="0" w:line="259" w:lineRule="auto"/>
              <w:ind w:left="170" w:right="170" w:firstLine="0"/>
              <w:jc w:val="center"/>
              <w:rPr>
                <w:rFonts w:ascii="Arial" w:hAnsi="Arial" w:cs="Arial"/>
                <w:b/>
              </w:rPr>
            </w:pPr>
            <w:r>
              <w:rPr>
                <w:rFonts w:ascii="Arial" w:hAnsi="Arial" w:cs="Arial"/>
                <w:b/>
              </w:rPr>
              <w:t xml:space="preserve">BLOQUE </w:t>
            </w:r>
            <w:r w:rsidR="00FE1565">
              <w:rPr>
                <w:rFonts w:ascii="Arial" w:hAnsi="Arial" w:cs="Arial"/>
                <w:b/>
              </w:rPr>
              <w:t>6</w:t>
            </w:r>
            <w:r>
              <w:rPr>
                <w:rFonts w:ascii="Arial" w:hAnsi="Arial" w:cs="Arial"/>
                <w:b/>
              </w:rPr>
              <w:t xml:space="preserve">. </w:t>
            </w:r>
            <w:r w:rsidRPr="00B16020">
              <w:rPr>
                <w:rFonts w:ascii="Arial" w:hAnsi="Arial" w:cs="Arial"/>
                <w:b/>
              </w:rPr>
              <w:t xml:space="preserve">OBLIGACIONES </w:t>
            </w:r>
            <w:r>
              <w:rPr>
                <w:rFonts w:ascii="Arial" w:hAnsi="Arial" w:cs="Arial"/>
                <w:b/>
              </w:rPr>
              <w:t xml:space="preserve">DE </w:t>
            </w:r>
            <w:r w:rsidRPr="00B16020">
              <w:rPr>
                <w:rFonts w:ascii="Arial" w:hAnsi="Arial" w:cs="Arial"/>
                <w:b/>
              </w:rPr>
              <w:t xml:space="preserve">SUMINISTRO </w:t>
            </w:r>
            <w:r>
              <w:rPr>
                <w:rFonts w:ascii="Arial" w:hAnsi="Arial" w:cs="Arial"/>
                <w:b/>
              </w:rPr>
              <w:t xml:space="preserve">DE </w:t>
            </w:r>
            <w:r w:rsidRPr="00B16020">
              <w:rPr>
                <w:rFonts w:ascii="Arial" w:hAnsi="Arial" w:cs="Arial"/>
                <w:b/>
              </w:rPr>
              <w:t>INFORMACIÓN A</w:t>
            </w:r>
            <w:r>
              <w:rPr>
                <w:rFonts w:ascii="Arial" w:hAnsi="Arial" w:cs="Arial"/>
                <w:b/>
              </w:rPr>
              <w:t xml:space="preserve"> LA INTERVENCIÓN GENERAL DE LA ADMINISTRACIÓN DEL ESTADO (IGAE)</w:t>
            </w:r>
          </w:p>
          <w:p w:rsidR="00365764" w:rsidRDefault="00365764" w:rsidP="001B6BD7">
            <w:pPr>
              <w:spacing w:after="120" w:line="259" w:lineRule="auto"/>
              <w:ind w:left="227" w:right="227" w:firstLine="0"/>
              <w:jc w:val="center"/>
            </w:pPr>
            <w:r>
              <w:rPr>
                <w:rFonts w:ascii="Arial" w:hAnsi="Arial" w:cs="Arial"/>
                <w:b/>
              </w:rPr>
              <w:t>Art. 37 DEL R</w:t>
            </w:r>
            <w:r w:rsidR="00DC1DAE">
              <w:rPr>
                <w:rFonts w:ascii="Arial" w:hAnsi="Arial" w:cs="Arial"/>
                <w:b/>
              </w:rPr>
              <w:t xml:space="preserve">EAL DECRETO 424/2017 </w:t>
            </w:r>
            <w:r>
              <w:rPr>
                <w:rFonts w:ascii="Arial" w:hAnsi="Arial" w:cs="Arial"/>
                <w:b/>
              </w:rPr>
              <w:t>Y RESOLUCIÓN DE 2-04-2020 DE LA IGAE</w:t>
            </w:r>
          </w:p>
        </w:tc>
      </w:tr>
    </w:tbl>
    <w:p w:rsidR="00295FCC" w:rsidRDefault="00295FCC">
      <w:pPr>
        <w:spacing w:after="7" w:line="259" w:lineRule="auto"/>
        <w:ind w:left="360" w:right="0" w:firstLine="0"/>
        <w:jc w:val="left"/>
      </w:pPr>
    </w:p>
    <w:p w:rsidR="00295FCC" w:rsidRDefault="009D6E73" w:rsidP="009F1792">
      <w:pPr>
        <w:numPr>
          <w:ilvl w:val="0"/>
          <w:numId w:val="20"/>
        </w:numPr>
        <w:spacing w:after="120" w:line="250" w:lineRule="auto"/>
        <w:ind w:left="584" w:right="0" w:hanging="357"/>
      </w:pPr>
      <w:r w:rsidRPr="009F1792">
        <w:rPr>
          <w:rFonts w:ascii="Arial" w:hAnsi="Arial" w:cs="Arial"/>
          <w:b/>
        </w:rPr>
        <w:t>INFORME RESUMEN ANUAL DE CONTROL INTERNO</w:t>
      </w:r>
      <w:r>
        <w:t xml:space="preserve"> </w:t>
      </w:r>
    </w:p>
    <w:p w:rsidR="00295FCC" w:rsidRPr="00144063" w:rsidRDefault="009D6E73" w:rsidP="00144063">
      <w:pPr>
        <w:spacing w:after="120" w:line="250" w:lineRule="auto"/>
        <w:ind w:left="11" w:right="0" w:firstLine="556"/>
        <w:rPr>
          <w:rFonts w:ascii="Arial" w:hAnsi="Arial" w:cs="Arial"/>
        </w:rPr>
      </w:pPr>
      <w:r w:rsidRPr="00144063">
        <w:rPr>
          <w:rFonts w:ascii="Arial" w:hAnsi="Arial" w:cs="Arial"/>
        </w:rPr>
        <w:t xml:space="preserve"> El artículo 37 del Real Decreto 424/2017, de 28 de abril, establece que el órgano interventor deberá elaborar con carácter anual y con ocasión de la aprobación de la cuenta general, el informe resumen de los resultados del control interno de la entidad local. Este informe resumen será remitido al Pleno, a través del Presidente de la Corporación, y a la Intervención General de la Administración del Estado en el curso del primer cuatrimestre de cada año a</w:t>
      </w:r>
      <w:r w:rsidR="00144063">
        <w:rPr>
          <w:rFonts w:ascii="Arial" w:hAnsi="Arial" w:cs="Arial"/>
        </w:rPr>
        <w:t xml:space="preserve"> través de la aplicación RICEL, </w:t>
      </w:r>
      <w:r w:rsidRPr="00144063">
        <w:rPr>
          <w:rFonts w:ascii="Arial" w:hAnsi="Arial" w:cs="Arial"/>
        </w:rPr>
        <w:t xml:space="preserve">y contendrá los resultados más significativos derivados de las actuaciones de control financiero y de función interventora realizadas en el ejercicio anterior. </w:t>
      </w:r>
    </w:p>
    <w:p w:rsidR="00295FCC" w:rsidRPr="00144063" w:rsidRDefault="009D6E73" w:rsidP="0095612D">
      <w:pPr>
        <w:spacing w:after="360" w:line="250" w:lineRule="auto"/>
        <w:ind w:left="11" w:right="0" w:firstLine="556"/>
        <w:rPr>
          <w:rFonts w:ascii="Arial" w:hAnsi="Arial" w:cs="Arial"/>
        </w:rPr>
      </w:pPr>
      <w:r w:rsidRPr="00144063">
        <w:rPr>
          <w:rFonts w:ascii="Arial" w:hAnsi="Arial" w:cs="Arial"/>
        </w:rPr>
        <w:t xml:space="preserve"> La Resolución de 2 de abril de 2020 de la Intervención General de la Administración del Estado establece las instrucciones a las que habrán de ajustarse el contenido, estructura y formato del informe resumen que habrá de enviarse a través de la aplicación RICEL alojada en el portal web de la Intervención General de la Administración </w:t>
      </w:r>
      <w:r w:rsidR="00144063">
        <w:rPr>
          <w:rFonts w:ascii="Arial" w:hAnsi="Arial" w:cs="Arial"/>
        </w:rPr>
        <w:t xml:space="preserve">del Estado </w:t>
      </w:r>
      <w:r w:rsidRPr="00144063">
        <w:rPr>
          <w:rFonts w:ascii="Arial" w:hAnsi="Arial" w:cs="Arial"/>
        </w:rPr>
        <w:t xml:space="preserve">(https://www.igae.pap.hacienda.gob.es). </w:t>
      </w:r>
    </w:p>
    <w:p w:rsidR="00295FCC" w:rsidRPr="0095612D" w:rsidRDefault="009D6E73" w:rsidP="0095612D">
      <w:pPr>
        <w:numPr>
          <w:ilvl w:val="0"/>
          <w:numId w:val="20"/>
        </w:numPr>
        <w:spacing w:after="120" w:line="250" w:lineRule="auto"/>
        <w:ind w:left="584" w:right="0" w:hanging="357"/>
        <w:rPr>
          <w:rFonts w:ascii="Arial" w:hAnsi="Arial" w:cs="Arial"/>
          <w:b/>
        </w:rPr>
      </w:pPr>
      <w:r w:rsidRPr="0095612D">
        <w:rPr>
          <w:rFonts w:ascii="Arial" w:hAnsi="Arial" w:cs="Arial"/>
          <w:b/>
        </w:rPr>
        <w:t xml:space="preserve">PLAN ANUAL DE CONTROL FINANCIERO. </w:t>
      </w:r>
    </w:p>
    <w:p w:rsidR="00295FCC" w:rsidRPr="0095612D" w:rsidRDefault="009D6E73" w:rsidP="0095612D">
      <w:pPr>
        <w:spacing w:after="120" w:line="250" w:lineRule="auto"/>
        <w:ind w:left="11" w:right="0" w:firstLine="556"/>
        <w:rPr>
          <w:rFonts w:ascii="Arial" w:hAnsi="Arial" w:cs="Arial"/>
        </w:rPr>
      </w:pPr>
      <w:r w:rsidRPr="0095612D">
        <w:rPr>
          <w:rFonts w:ascii="Arial" w:hAnsi="Arial" w:cs="Arial"/>
        </w:rPr>
        <w:t xml:space="preserve">El artículo 31 del Real Decreto 424/2017, de 28 de abril, establece que el órgano interventor deberá elaborar un Plan Anual de Control Financiero que recogerá las actuaciones de control permanente y auditoría pública a realizar durante el ejercicio, concretando las actuaciones a realizar e identificando el alcance de cada una. El Plan será remitido a efectos informativos al Pleno y no es obligatoria su remisión por la aplicación anterior. </w:t>
      </w:r>
    </w:p>
    <w:sectPr w:rsidR="00295FCC" w:rsidRPr="0095612D" w:rsidSect="00306294">
      <w:headerReference w:type="even" r:id="rId11"/>
      <w:headerReference w:type="default" r:id="rId12"/>
      <w:footerReference w:type="even" r:id="rId13"/>
      <w:footerReference w:type="default" r:id="rId14"/>
      <w:headerReference w:type="first" r:id="rId15"/>
      <w:footerReference w:type="first" r:id="rId16"/>
      <w:pgSz w:w="11911" w:h="16841"/>
      <w:pgMar w:top="1701" w:right="1279" w:bottom="1134" w:left="1361" w:header="266"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EEF" w:rsidRDefault="00602EEF">
      <w:pPr>
        <w:spacing w:after="0" w:line="240" w:lineRule="auto"/>
      </w:pPr>
      <w:r>
        <w:separator/>
      </w:r>
    </w:p>
  </w:endnote>
  <w:endnote w:type="continuationSeparator" w:id="0">
    <w:p w:rsidR="00602EEF" w:rsidRDefault="0060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charset w:val="00"/>
    <w:family w:val="swiss"/>
    <w:pitch w:val="variable"/>
    <w:sig w:usb0="00000287" w:usb1="00000000" w:usb2="00000000" w:usb3="00000000" w:csb0="0000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F18" w:rsidRDefault="00465F18">
    <w:pPr>
      <w:tabs>
        <w:tab w:val="center" w:pos="360"/>
        <w:tab w:val="center" w:pos="8942"/>
      </w:tabs>
      <w:spacing w:after="0" w:line="259" w:lineRule="auto"/>
      <w:ind w:left="0" w:right="0" w:firstLine="0"/>
      <w:jc w:val="left"/>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F18" w:rsidRDefault="00465F18">
    <w:pPr>
      <w:tabs>
        <w:tab w:val="center" w:pos="360"/>
        <w:tab w:val="center" w:pos="8942"/>
      </w:tabs>
      <w:spacing w:after="0" w:line="259" w:lineRule="auto"/>
      <w:ind w:left="0" w:right="0" w:firstLine="0"/>
      <w:jc w:val="left"/>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sidRPr="008D48E0">
      <w:rPr>
        <w:rFonts w:ascii="Calibri" w:eastAsia="Calibri" w:hAnsi="Calibri" w:cs="Calibri"/>
        <w:noProof/>
      </w:rPr>
      <w:t>3</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F18" w:rsidRDefault="00465F18">
    <w:pPr>
      <w:tabs>
        <w:tab w:val="center" w:pos="360"/>
        <w:tab w:val="center" w:pos="8942"/>
      </w:tabs>
      <w:spacing w:after="0" w:line="259" w:lineRule="auto"/>
      <w:ind w:left="0" w:right="0" w:firstLine="0"/>
      <w:jc w:val="left"/>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EEF" w:rsidRDefault="00602EEF">
      <w:pPr>
        <w:spacing w:after="0" w:line="240" w:lineRule="auto"/>
      </w:pPr>
      <w:r>
        <w:separator/>
      </w:r>
    </w:p>
  </w:footnote>
  <w:footnote w:type="continuationSeparator" w:id="0">
    <w:p w:rsidR="00602EEF" w:rsidRDefault="0060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F18" w:rsidRDefault="00465F18">
    <w:pPr>
      <w:spacing w:after="0" w:line="259" w:lineRule="auto"/>
      <w:ind w:left="0" w:right="3816" w:firstLine="0"/>
      <w:jc w:val="center"/>
    </w:pPr>
    <w:r>
      <w:rPr>
        <w:noProof/>
      </w:rPr>
      <w:drawing>
        <wp:anchor distT="0" distB="0" distL="114300" distR="114300" simplePos="0" relativeHeight="251658240" behindDoc="0" locked="0" layoutInCell="1" allowOverlap="0">
          <wp:simplePos x="0" y="0"/>
          <wp:positionH relativeFrom="page">
            <wp:posOffset>927100</wp:posOffset>
          </wp:positionH>
          <wp:positionV relativeFrom="page">
            <wp:posOffset>169545</wp:posOffset>
          </wp:positionV>
          <wp:extent cx="3019425" cy="1038225"/>
          <wp:effectExtent l="0" t="0" r="0" b="0"/>
          <wp:wrapSquare wrapText="bothSides"/>
          <wp:docPr id="7"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3019425" cy="1038225"/>
                  </a:xfrm>
                  <a:prstGeom prst="rect">
                    <a:avLst/>
                  </a:prstGeom>
                </pic:spPr>
              </pic:pic>
            </a:graphicData>
          </a:graphic>
        </wp:anchor>
      </w:drawing>
    </w:r>
    <w:r>
      <w:rPr>
        <w:rFonts w:ascii="Calibri" w:eastAsia="Calibri" w:hAnsi="Calibri" w:cs="Calibri"/>
      </w:rPr>
      <w:t xml:space="preserve"> </w:t>
    </w:r>
  </w:p>
  <w:p w:rsidR="00465F18" w:rsidRDefault="00465F18">
    <w:pPr>
      <w:spacing w:after="0" w:line="259" w:lineRule="auto"/>
      <w:ind w:left="360" w:right="0" w:firstLine="0"/>
      <w:jc w:val="left"/>
    </w:pPr>
    <w:r>
      <w:rPr>
        <w:rFonts w:ascii="Calibri" w:eastAsia="Calibri" w:hAnsi="Calibri" w:cs="Calibri"/>
        <w:sz w:val="16"/>
      </w:rPr>
      <w:t>CDS</w:t>
    </w:r>
    <w:r>
      <w:rPr>
        <w:sz w:val="20"/>
      </w:rPr>
      <w:t xml:space="preserve"> </w:t>
    </w:r>
    <w:r>
      <w:rPr>
        <w:rFonts w:ascii="Calibri" w:eastAsia="Calibri" w:hAnsi="Calibri" w:cs="Calibri"/>
        <w:sz w:val="16"/>
      </w:rPr>
      <w:t xml:space="preserve">-2013/0010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F18" w:rsidRDefault="00465F18">
    <w:pPr>
      <w:spacing w:after="0" w:line="259" w:lineRule="auto"/>
      <w:ind w:left="0" w:right="3816" w:firstLine="0"/>
      <w:jc w:val="center"/>
    </w:pPr>
    <w:r>
      <w:rPr>
        <w:noProof/>
      </w:rPr>
      <w:drawing>
        <wp:anchor distT="0" distB="0" distL="114300" distR="114300" simplePos="0" relativeHeight="251659264" behindDoc="0" locked="0" layoutInCell="1" allowOverlap="0">
          <wp:simplePos x="0" y="0"/>
          <wp:positionH relativeFrom="page">
            <wp:posOffset>927100</wp:posOffset>
          </wp:positionH>
          <wp:positionV relativeFrom="page">
            <wp:posOffset>169545</wp:posOffset>
          </wp:positionV>
          <wp:extent cx="3019425" cy="1038225"/>
          <wp:effectExtent l="0" t="0" r="0" b="0"/>
          <wp:wrapSquare wrapText="bothSides"/>
          <wp:docPr id="8"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3019425" cy="1038225"/>
                  </a:xfrm>
                  <a:prstGeom prst="rect">
                    <a:avLst/>
                  </a:prstGeom>
                </pic:spPr>
              </pic:pic>
            </a:graphicData>
          </a:graphic>
        </wp:anchor>
      </w:drawing>
    </w:r>
    <w:r>
      <w:rPr>
        <w:rFonts w:ascii="Calibri" w:eastAsia="Calibri" w:hAnsi="Calibri" w:cs="Calibri"/>
      </w:rPr>
      <w:t xml:space="preserve"> </w:t>
    </w:r>
  </w:p>
  <w:p w:rsidR="00465F18" w:rsidRDefault="00465F18">
    <w:pPr>
      <w:spacing w:after="0" w:line="259" w:lineRule="auto"/>
      <w:ind w:left="360" w:right="0" w:firstLine="0"/>
      <w:jc w:val="left"/>
    </w:pPr>
    <w:r>
      <w:rPr>
        <w:rFonts w:ascii="Calibri" w:eastAsia="Calibri" w:hAnsi="Calibri" w:cs="Calibri"/>
        <w:sz w:val="16"/>
      </w:rPr>
      <w:t>CDS</w:t>
    </w:r>
    <w:r>
      <w:rPr>
        <w:sz w:val="20"/>
      </w:rPr>
      <w:t xml:space="preserve"> </w:t>
    </w:r>
    <w:r>
      <w:rPr>
        <w:rFonts w:ascii="Calibri" w:eastAsia="Calibri" w:hAnsi="Calibri" w:cs="Calibri"/>
        <w:sz w:val="16"/>
      </w:rPr>
      <w:t xml:space="preserve">-2013/0010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F18" w:rsidRDefault="00465F18">
    <w:pPr>
      <w:spacing w:after="0" w:line="259" w:lineRule="auto"/>
      <w:ind w:left="0" w:right="3816" w:firstLine="0"/>
      <w:jc w:val="center"/>
    </w:pPr>
    <w:r>
      <w:rPr>
        <w:noProof/>
      </w:rPr>
      <w:drawing>
        <wp:anchor distT="0" distB="0" distL="114300" distR="114300" simplePos="0" relativeHeight="251660288" behindDoc="0" locked="0" layoutInCell="1" allowOverlap="0">
          <wp:simplePos x="0" y="0"/>
          <wp:positionH relativeFrom="page">
            <wp:posOffset>927100</wp:posOffset>
          </wp:positionH>
          <wp:positionV relativeFrom="page">
            <wp:posOffset>169545</wp:posOffset>
          </wp:positionV>
          <wp:extent cx="3019425" cy="1038225"/>
          <wp:effectExtent l="0" t="0" r="0" b="0"/>
          <wp:wrapSquare wrapText="bothSides"/>
          <wp:docPr id="12"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3019425" cy="1038225"/>
                  </a:xfrm>
                  <a:prstGeom prst="rect">
                    <a:avLst/>
                  </a:prstGeom>
                </pic:spPr>
              </pic:pic>
            </a:graphicData>
          </a:graphic>
        </wp:anchor>
      </w:drawing>
    </w:r>
    <w:r>
      <w:rPr>
        <w:rFonts w:ascii="Calibri" w:eastAsia="Calibri" w:hAnsi="Calibri" w:cs="Calibri"/>
      </w:rPr>
      <w:t xml:space="preserve"> </w:t>
    </w:r>
  </w:p>
  <w:p w:rsidR="00465F18" w:rsidRDefault="00465F18">
    <w:pPr>
      <w:spacing w:after="0" w:line="259" w:lineRule="auto"/>
      <w:ind w:left="360" w:right="0" w:firstLine="0"/>
      <w:jc w:val="left"/>
    </w:pPr>
    <w:r>
      <w:rPr>
        <w:rFonts w:ascii="Calibri" w:eastAsia="Calibri" w:hAnsi="Calibri" w:cs="Calibri"/>
        <w:sz w:val="16"/>
      </w:rPr>
      <w:t>CDS</w:t>
    </w:r>
    <w:r>
      <w:rPr>
        <w:sz w:val="20"/>
      </w:rPr>
      <w:t xml:space="preserve"> </w:t>
    </w:r>
    <w:r>
      <w:rPr>
        <w:rFonts w:ascii="Calibri" w:eastAsia="Calibri" w:hAnsi="Calibri" w:cs="Calibri"/>
        <w:sz w:val="16"/>
      </w:rPr>
      <w:t xml:space="preserve">-2013/0010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E2A"/>
    <w:multiLevelType w:val="hybridMultilevel"/>
    <w:tmpl w:val="B38EDF48"/>
    <w:lvl w:ilvl="0" w:tplc="80E8E08E">
      <w:start w:val="1"/>
      <w:numFmt w:val="bullet"/>
      <w:lvlText w:val="•"/>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80DFFC">
      <w:start w:val="1"/>
      <w:numFmt w:val="bullet"/>
      <w:lvlText w:val="o"/>
      <w:lvlJc w:val="left"/>
      <w:pPr>
        <w:ind w:left="17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4A4D92">
      <w:start w:val="1"/>
      <w:numFmt w:val="bullet"/>
      <w:lvlText w:val="▪"/>
      <w:lvlJc w:val="left"/>
      <w:pPr>
        <w:ind w:left="2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4E5838">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D25C0E">
      <w:start w:val="1"/>
      <w:numFmt w:val="bullet"/>
      <w:lvlText w:val="o"/>
      <w:lvlJc w:val="left"/>
      <w:pPr>
        <w:ind w:left="38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1E1C96">
      <w:start w:val="1"/>
      <w:numFmt w:val="bullet"/>
      <w:lvlText w:val="▪"/>
      <w:lvlJc w:val="left"/>
      <w:pPr>
        <w:ind w:left="4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AE7972">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5E1710">
      <w:start w:val="1"/>
      <w:numFmt w:val="bullet"/>
      <w:lvlText w:val="o"/>
      <w:lvlJc w:val="left"/>
      <w:pPr>
        <w:ind w:left="60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C62F86">
      <w:start w:val="1"/>
      <w:numFmt w:val="bullet"/>
      <w:lvlText w:val="▪"/>
      <w:lvlJc w:val="left"/>
      <w:pPr>
        <w:ind w:left="6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B14A9A"/>
    <w:multiLevelType w:val="hybridMultilevel"/>
    <w:tmpl w:val="73363FBA"/>
    <w:lvl w:ilvl="0" w:tplc="11D44056">
      <w:start w:val="1"/>
      <w:numFmt w:val="bullet"/>
      <w:lvlText w:val="–"/>
      <w:lvlJc w:val="left"/>
      <w:pPr>
        <w:ind w:left="1068" w:hanging="360"/>
      </w:pPr>
      <w:rPr>
        <w:rFonts w:ascii="Franklin Gothic Book" w:hAnsi="Franklin Gothic Book"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745215D"/>
    <w:multiLevelType w:val="hybridMultilevel"/>
    <w:tmpl w:val="29CE1F0C"/>
    <w:lvl w:ilvl="0" w:tplc="1170527E">
      <w:start w:val="1"/>
      <w:numFmt w:val="bullet"/>
      <w:lvlText w:val="−"/>
      <w:lvlJc w:val="left"/>
      <w:pPr>
        <w:ind w:left="1069" w:hanging="360"/>
      </w:pPr>
      <w:rPr>
        <w:rFonts w:ascii="Franklin Gothic Book" w:hAnsi="Franklin Gothic Book" w:hint="default"/>
      </w:rPr>
    </w:lvl>
    <w:lvl w:ilvl="1" w:tplc="11D44056">
      <w:start w:val="1"/>
      <w:numFmt w:val="bullet"/>
      <w:lvlText w:val="–"/>
      <w:lvlJc w:val="left"/>
      <w:pPr>
        <w:ind w:left="1789" w:hanging="360"/>
      </w:pPr>
      <w:rPr>
        <w:rFonts w:ascii="Franklin Gothic Book" w:hAnsi="Franklin Gothic Book"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79E6D2C"/>
    <w:multiLevelType w:val="hybridMultilevel"/>
    <w:tmpl w:val="7D0E1E04"/>
    <w:lvl w:ilvl="0" w:tplc="E8E075EA">
      <w:start w:val="1"/>
      <w:numFmt w:val="decimal"/>
      <w:lvlText w:val="%1."/>
      <w:lvlJc w:val="left"/>
      <w:pPr>
        <w:ind w:left="1004" w:hanging="360"/>
      </w:pPr>
      <w:rPr>
        <w:rFonts w:ascii="Arial" w:hAnsi="Arial" w:cs="Arial" w:hint="default"/>
        <w:color w:val="auto"/>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0ADA6D98"/>
    <w:multiLevelType w:val="hybridMultilevel"/>
    <w:tmpl w:val="7756C3CC"/>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15:restartNumberingAfterBreak="0">
    <w:nsid w:val="0B9A3C82"/>
    <w:multiLevelType w:val="hybridMultilevel"/>
    <w:tmpl w:val="203ABF04"/>
    <w:lvl w:ilvl="0" w:tplc="1170527E">
      <w:start w:val="1"/>
      <w:numFmt w:val="bullet"/>
      <w:lvlText w:val="−"/>
      <w:lvlJc w:val="left"/>
      <w:pPr>
        <w:ind w:left="720" w:hanging="360"/>
      </w:pPr>
      <w:rPr>
        <w:rFonts w:ascii="Franklin Gothic Book" w:hAnsi="Franklin Gothic Book"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953DC2"/>
    <w:multiLevelType w:val="hybridMultilevel"/>
    <w:tmpl w:val="C96EF7A0"/>
    <w:lvl w:ilvl="0" w:tplc="042A04C8">
      <w:start w:val="4"/>
      <w:numFmt w:val="bullet"/>
      <w:lvlText w:val="-"/>
      <w:lvlJc w:val="left"/>
      <w:pPr>
        <w:ind w:left="644" w:hanging="360"/>
      </w:pPr>
      <w:rPr>
        <w:rFonts w:ascii="Arial" w:eastAsia="Times New Roman" w:hAnsi="Arial" w:cs="Arial"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E96A75"/>
    <w:multiLevelType w:val="hybridMultilevel"/>
    <w:tmpl w:val="D3C0E6DA"/>
    <w:lvl w:ilvl="0" w:tplc="EFCAC42A">
      <w:start w:val="1"/>
      <w:numFmt w:val="bullet"/>
      <w:lvlText w:val="-"/>
      <w:lvlJc w:val="left"/>
      <w:pPr>
        <w:ind w:left="8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A08E9FE">
      <w:start w:val="1"/>
      <w:numFmt w:val="bullet"/>
      <w:lvlText w:val="o"/>
      <w:lvlJc w:val="left"/>
      <w:pPr>
        <w:ind w:left="14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60A81A2">
      <w:start w:val="1"/>
      <w:numFmt w:val="bullet"/>
      <w:lvlText w:val="▪"/>
      <w:lvlJc w:val="left"/>
      <w:pPr>
        <w:ind w:left="21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C6E8F78">
      <w:start w:val="1"/>
      <w:numFmt w:val="bullet"/>
      <w:lvlText w:val="•"/>
      <w:lvlJc w:val="left"/>
      <w:pPr>
        <w:ind w:left="28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EA66B80">
      <w:start w:val="1"/>
      <w:numFmt w:val="bullet"/>
      <w:lvlText w:val="o"/>
      <w:lvlJc w:val="left"/>
      <w:pPr>
        <w:ind w:left="35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30AA2B6">
      <w:start w:val="1"/>
      <w:numFmt w:val="bullet"/>
      <w:lvlText w:val="▪"/>
      <w:lvlJc w:val="left"/>
      <w:pPr>
        <w:ind w:left="43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0C4F712">
      <w:start w:val="1"/>
      <w:numFmt w:val="bullet"/>
      <w:lvlText w:val="•"/>
      <w:lvlJc w:val="left"/>
      <w:pPr>
        <w:ind w:left="50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E94318E">
      <w:start w:val="1"/>
      <w:numFmt w:val="bullet"/>
      <w:lvlText w:val="o"/>
      <w:lvlJc w:val="left"/>
      <w:pPr>
        <w:ind w:left="57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C38BD16">
      <w:start w:val="1"/>
      <w:numFmt w:val="bullet"/>
      <w:lvlText w:val="▪"/>
      <w:lvlJc w:val="left"/>
      <w:pPr>
        <w:ind w:left="64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335315"/>
    <w:multiLevelType w:val="hybridMultilevel"/>
    <w:tmpl w:val="0FDE2CA8"/>
    <w:lvl w:ilvl="0" w:tplc="11D44056">
      <w:start w:val="1"/>
      <w:numFmt w:val="bullet"/>
      <w:lvlText w:val="–"/>
      <w:lvlJc w:val="left"/>
      <w:pPr>
        <w:ind w:left="927" w:hanging="360"/>
      </w:pPr>
      <w:rPr>
        <w:rFonts w:ascii="Franklin Gothic Book" w:hAnsi="Franklin Gothic Book"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3AFB75F2"/>
    <w:multiLevelType w:val="hybridMultilevel"/>
    <w:tmpl w:val="112C1000"/>
    <w:lvl w:ilvl="0" w:tplc="0C0A0011">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3BE75584"/>
    <w:multiLevelType w:val="hybridMultilevel"/>
    <w:tmpl w:val="F2AEAEA6"/>
    <w:lvl w:ilvl="0" w:tplc="AA3EB2F2">
      <w:start w:val="1"/>
      <w:numFmt w:val="lowerLetter"/>
      <w:lvlText w:val="%1)"/>
      <w:lvlJc w:val="left"/>
      <w:pPr>
        <w:ind w:left="6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98C927C">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002133E">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BE4E24C">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2844512">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C8618C8">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C22619E">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38E941E">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0F4E208">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781CE7"/>
    <w:multiLevelType w:val="hybridMultilevel"/>
    <w:tmpl w:val="05DE4F76"/>
    <w:lvl w:ilvl="0" w:tplc="0C0A000B">
      <w:start w:val="1"/>
      <w:numFmt w:val="bullet"/>
      <w:lvlText w:val=""/>
      <w:lvlJc w:val="left"/>
      <w:pPr>
        <w:ind w:left="1350" w:hanging="360"/>
      </w:pPr>
      <w:rPr>
        <w:rFonts w:ascii="Wingdings" w:hAnsi="Wingdings" w:hint="default"/>
      </w:rPr>
    </w:lvl>
    <w:lvl w:ilvl="1" w:tplc="0C0A0003" w:tentative="1">
      <w:start w:val="1"/>
      <w:numFmt w:val="bullet"/>
      <w:lvlText w:val="o"/>
      <w:lvlJc w:val="left"/>
      <w:pPr>
        <w:ind w:left="2070" w:hanging="360"/>
      </w:pPr>
      <w:rPr>
        <w:rFonts w:ascii="Courier New" w:hAnsi="Courier New" w:cs="Courier New" w:hint="default"/>
      </w:rPr>
    </w:lvl>
    <w:lvl w:ilvl="2" w:tplc="0C0A0005">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12" w15:restartNumberingAfterBreak="0">
    <w:nsid w:val="4F082BD3"/>
    <w:multiLevelType w:val="hybridMultilevel"/>
    <w:tmpl w:val="E782E51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52653463"/>
    <w:multiLevelType w:val="hybridMultilevel"/>
    <w:tmpl w:val="28C219F4"/>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53E83B95"/>
    <w:multiLevelType w:val="hybridMultilevel"/>
    <w:tmpl w:val="E2126BD6"/>
    <w:lvl w:ilvl="0" w:tplc="8FB6B09C">
      <w:start w:val="3"/>
      <w:numFmt w:val="decimal"/>
      <w:lvlText w:val="%1."/>
      <w:lvlJc w:val="left"/>
      <w:pPr>
        <w:ind w:left="35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DBAAC4E6">
      <w:start w:val="1"/>
      <w:numFmt w:val="bullet"/>
      <w:lvlText w:val="-"/>
      <w:lvlJc w:val="left"/>
      <w:pPr>
        <w:ind w:left="10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2B8BDAE">
      <w:start w:val="1"/>
      <w:numFmt w:val="bullet"/>
      <w:lvlText w:val="▪"/>
      <w:lvlJc w:val="left"/>
      <w:pPr>
        <w:ind w:left="17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F48B09E">
      <w:start w:val="1"/>
      <w:numFmt w:val="bullet"/>
      <w:lvlText w:val="•"/>
      <w:lvlJc w:val="left"/>
      <w:pPr>
        <w:ind w:left="24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C64B9B2">
      <w:start w:val="1"/>
      <w:numFmt w:val="bullet"/>
      <w:lvlText w:val="o"/>
      <w:lvlJc w:val="left"/>
      <w:pPr>
        <w:ind w:left="31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00066B6">
      <w:start w:val="1"/>
      <w:numFmt w:val="bullet"/>
      <w:lvlText w:val="▪"/>
      <w:lvlJc w:val="left"/>
      <w:pPr>
        <w:ind w:left="38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6AE7666">
      <w:start w:val="1"/>
      <w:numFmt w:val="bullet"/>
      <w:lvlText w:val="•"/>
      <w:lvlJc w:val="left"/>
      <w:pPr>
        <w:ind w:left="46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0B4680E">
      <w:start w:val="1"/>
      <w:numFmt w:val="bullet"/>
      <w:lvlText w:val="o"/>
      <w:lvlJc w:val="left"/>
      <w:pPr>
        <w:ind w:left="53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87ED566">
      <w:start w:val="1"/>
      <w:numFmt w:val="bullet"/>
      <w:lvlText w:val="▪"/>
      <w:lvlJc w:val="left"/>
      <w:pPr>
        <w:ind w:left="60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4CC5ACD"/>
    <w:multiLevelType w:val="hybridMultilevel"/>
    <w:tmpl w:val="76F4F932"/>
    <w:lvl w:ilvl="0" w:tplc="7DA6D244">
      <w:start w:val="1"/>
      <w:numFmt w:val="lowerLetter"/>
      <w:lvlText w:val="%1)"/>
      <w:lvlJc w:val="left"/>
      <w:pPr>
        <w:ind w:left="1068"/>
      </w:pPr>
      <w:rPr>
        <w:rFonts w:ascii="Arial" w:eastAsia="Verdana" w:hAnsi="Arial" w:cs="Arial" w:hint="default"/>
        <w:b w:val="0"/>
        <w:i w:val="0"/>
        <w:strike w:val="0"/>
        <w:dstrike w:val="0"/>
        <w:color w:val="000000"/>
        <w:sz w:val="22"/>
        <w:szCs w:val="22"/>
        <w:u w:val="none" w:color="000000"/>
        <w:bdr w:val="none" w:sz="0" w:space="0" w:color="auto"/>
        <w:shd w:val="clear" w:color="auto" w:fill="auto"/>
        <w:vertAlign w:val="baseline"/>
      </w:rPr>
    </w:lvl>
    <w:lvl w:ilvl="1" w:tplc="11B0DE3A">
      <w:start w:val="1"/>
      <w:numFmt w:val="lowerLetter"/>
      <w:lvlText w:val="%2"/>
      <w:lvlJc w:val="left"/>
      <w:pPr>
        <w:ind w:left="14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01CB044">
      <w:start w:val="1"/>
      <w:numFmt w:val="lowerRoman"/>
      <w:lvlText w:val="%3"/>
      <w:lvlJc w:val="left"/>
      <w:pPr>
        <w:ind w:left="21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56AFD62">
      <w:start w:val="1"/>
      <w:numFmt w:val="decimal"/>
      <w:lvlText w:val="%4"/>
      <w:lvlJc w:val="left"/>
      <w:pPr>
        <w:ind w:left="28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C5E09CC">
      <w:start w:val="1"/>
      <w:numFmt w:val="lowerLetter"/>
      <w:lvlText w:val="%5"/>
      <w:lvlJc w:val="left"/>
      <w:pPr>
        <w:ind w:left="35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4A0DFBC">
      <w:start w:val="1"/>
      <w:numFmt w:val="lowerRoman"/>
      <w:lvlText w:val="%6"/>
      <w:lvlJc w:val="left"/>
      <w:pPr>
        <w:ind w:left="43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38C3D00">
      <w:start w:val="1"/>
      <w:numFmt w:val="decimal"/>
      <w:lvlText w:val="%7"/>
      <w:lvlJc w:val="left"/>
      <w:pPr>
        <w:ind w:left="50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E5274EC">
      <w:start w:val="1"/>
      <w:numFmt w:val="lowerLetter"/>
      <w:lvlText w:val="%8"/>
      <w:lvlJc w:val="left"/>
      <w:pPr>
        <w:ind w:left="57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C6ABEE4">
      <w:start w:val="1"/>
      <w:numFmt w:val="lowerRoman"/>
      <w:lvlText w:val="%9"/>
      <w:lvlJc w:val="left"/>
      <w:pPr>
        <w:ind w:left="64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097CB2"/>
    <w:multiLevelType w:val="hybridMultilevel"/>
    <w:tmpl w:val="3286C754"/>
    <w:lvl w:ilvl="0" w:tplc="5B8EB096">
      <w:start w:val="1"/>
      <w:numFmt w:val="bullet"/>
      <w:lvlText w:val="-"/>
      <w:lvlJc w:val="left"/>
      <w:pPr>
        <w:ind w:left="523"/>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lvl w:ilvl="1" w:tplc="0DEA0FD8">
      <w:start w:val="1"/>
      <w:numFmt w:val="bullet"/>
      <w:lvlText w:val="o"/>
      <w:lvlJc w:val="left"/>
      <w:pPr>
        <w:ind w:left="1859"/>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lvl w:ilvl="2" w:tplc="56B241A0">
      <w:start w:val="1"/>
      <w:numFmt w:val="bullet"/>
      <w:lvlText w:val="▪"/>
      <w:lvlJc w:val="left"/>
      <w:pPr>
        <w:ind w:left="2579"/>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lvl w:ilvl="3" w:tplc="E976D22E">
      <w:start w:val="1"/>
      <w:numFmt w:val="bullet"/>
      <w:lvlText w:val="•"/>
      <w:lvlJc w:val="left"/>
      <w:pPr>
        <w:ind w:left="3299"/>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lvl w:ilvl="4" w:tplc="CDA0FFF4">
      <w:start w:val="1"/>
      <w:numFmt w:val="bullet"/>
      <w:lvlText w:val="o"/>
      <w:lvlJc w:val="left"/>
      <w:pPr>
        <w:ind w:left="4019"/>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lvl w:ilvl="5" w:tplc="D9A4FA78">
      <w:start w:val="1"/>
      <w:numFmt w:val="bullet"/>
      <w:lvlText w:val="▪"/>
      <w:lvlJc w:val="left"/>
      <w:pPr>
        <w:ind w:left="4739"/>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lvl w:ilvl="6" w:tplc="7FC40CEE">
      <w:start w:val="1"/>
      <w:numFmt w:val="bullet"/>
      <w:lvlText w:val="•"/>
      <w:lvlJc w:val="left"/>
      <w:pPr>
        <w:ind w:left="5459"/>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lvl w:ilvl="7" w:tplc="70909DD6">
      <w:start w:val="1"/>
      <w:numFmt w:val="bullet"/>
      <w:lvlText w:val="o"/>
      <w:lvlJc w:val="left"/>
      <w:pPr>
        <w:ind w:left="6179"/>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lvl w:ilvl="8" w:tplc="AE22FF4E">
      <w:start w:val="1"/>
      <w:numFmt w:val="bullet"/>
      <w:lvlText w:val="▪"/>
      <w:lvlJc w:val="left"/>
      <w:pPr>
        <w:ind w:left="6899"/>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abstractNum>
  <w:abstractNum w:abstractNumId="17" w15:restartNumberingAfterBreak="0">
    <w:nsid w:val="55AC6B9A"/>
    <w:multiLevelType w:val="hybridMultilevel"/>
    <w:tmpl w:val="9FFE4CDC"/>
    <w:lvl w:ilvl="0" w:tplc="50B6EB2E">
      <w:start w:val="1"/>
      <w:numFmt w:val="bullet"/>
      <w:lvlText w:val="•"/>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6652A2">
      <w:start w:val="1"/>
      <w:numFmt w:val="lowerLetter"/>
      <w:lvlText w:val="%2)"/>
      <w:lvlJc w:val="left"/>
      <w:pPr>
        <w:ind w:left="9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C0A0011">
      <w:start w:val="1"/>
      <w:numFmt w:val="decimal"/>
      <w:lvlText w:val="%3)"/>
      <w:lvlJc w:val="left"/>
      <w:pPr>
        <w:ind w:left="1363"/>
      </w:pPr>
      <w:rPr>
        <w:b w:val="0"/>
        <w:i w:val="0"/>
        <w:strike w:val="0"/>
        <w:dstrike w:val="0"/>
        <w:color w:val="000000"/>
        <w:sz w:val="22"/>
        <w:szCs w:val="22"/>
        <w:u w:val="none" w:color="000000"/>
        <w:bdr w:val="none" w:sz="0" w:space="0" w:color="auto"/>
        <w:shd w:val="clear" w:color="auto" w:fill="auto"/>
        <w:vertAlign w:val="baseline"/>
      </w:rPr>
    </w:lvl>
    <w:lvl w:ilvl="3" w:tplc="B8DA26E4">
      <w:start w:val="1"/>
      <w:numFmt w:val="decimal"/>
      <w:lvlText w:val="%4"/>
      <w:lvlJc w:val="left"/>
      <w:pPr>
        <w:ind w:left="20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A384532">
      <w:start w:val="1"/>
      <w:numFmt w:val="lowerLetter"/>
      <w:lvlText w:val="%5"/>
      <w:lvlJc w:val="left"/>
      <w:pPr>
        <w:ind w:left="28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E28270C">
      <w:start w:val="1"/>
      <w:numFmt w:val="lowerRoman"/>
      <w:lvlText w:val="%6"/>
      <w:lvlJc w:val="left"/>
      <w:pPr>
        <w:ind w:left="35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6D224EC">
      <w:start w:val="1"/>
      <w:numFmt w:val="decimal"/>
      <w:lvlText w:val="%7"/>
      <w:lvlJc w:val="left"/>
      <w:pPr>
        <w:ind w:left="42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E7AA510">
      <w:start w:val="1"/>
      <w:numFmt w:val="lowerLetter"/>
      <w:lvlText w:val="%8"/>
      <w:lvlJc w:val="left"/>
      <w:pPr>
        <w:ind w:left="49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ECA6958">
      <w:start w:val="1"/>
      <w:numFmt w:val="lowerRoman"/>
      <w:lvlText w:val="%9"/>
      <w:lvlJc w:val="left"/>
      <w:pPr>
        <w:ind w:left="56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890722"/>
    <w:multiLevelType w:val="hybridMultilevel"/>
    <w:tmpl w:val="B2E8EDEC"/>
    <w:lvl w:ilvl="0" w:tplc="11D44056">
      <w:start w:val="1"/>
      <w:numFmt w:val="bullet"/>
      <w:lvlText w:val="–"/>
      <w:lvlJc w:val="left"/>
      <w:pPr>
        <w:ind w:left="1068" w:hanging="360"/>
      </w:pPr>
      <w:rPr>
        <w:rFonts w:ascii="Franklin Gothic Book" w:hAnsi="Franklin Gothic Book" w:hint="default"/>
      </w:rPr>
    </w:lvl>
    <w:lvl w:ilvl="1" w:tplc="0C0A0003" w:tentative="1">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56F370B3"/>
    <w:multiLevelType w:val="hybridMultilevel"/>
    <w:tmpl w:val="BC00C47C"/>
    <w:lvl w:ilvl="0" w:tplc="0C0A0015">
      <w:start w:val="1"/>
      <w:numFmt w:val="upperLetter"/>
      <w:lvlText w:val="%1."/>
      <w:lvlJc w:val="left"/>
      <w:pPr>
        <w:ind w:left="730" w:hanging="360"/>
      </w:pPr>
    </w:lvl>
    <w:lvl w:ilvl="1" w:tplc="0C0A0019" w:tentative="1">
      <w:start w:val="1"/>
      <w:numFmt w:val="lowerLetter"/>
      <w:lvlText w:val="%2."/>
      <w:lvlJc w:val="left"/>
      <w:pPr>
        <w:ind w:left="1450" w:hanging="360"/>
      </w:pPr>
    </w:lvl>
    <w:lvl w:ilvl="2" w:tplc="0C0A001B" w:tentative="1">
      <w:start w:val="1"/>
      <w:numFmt w:val="lowerRoman"/>
      <w:lvlText w:val="%3."/>
      <w:lvlJc w:val="right"/>
      <w:pPr>
        <w:ind w:left="2170" w:hanging="180"/>
      </w:pPr>
    </w:lvl>
    <w:lvl w:ilvl="3" w:tplc="0C0A000F" w:tentative="1">
      <w:start w:val="1"/>
      <w:numFmt w:val="decimal"/>
      <w:lvlText w:val="%4."/>
      <w:lvlJc w:val="left"/>
      <w:pPr>
        <w:ind w:left="2890" w:hanging="360"/>
      </w:pPr>
    </w:lvl>
    <w:lvl w:ilvl="4" w:tplc="0C0A0019" w:tentative="1">
      <w:start w:val="1"/>
      <w:numFmt w:val="lowerLetter"/>
      <w:lvlText w:val="%5."/>
      <w:lvlJc w:val="left"/>
      <w:pPr>
        <w:ind w:left="3610" w:hanging="360"/>
      </w:pPr>
    </w:lvl>
    <w:lvl w:ilvl="5" w:tplc="0C0A001B" w:tentative="1">
      <w:start w:val="1"/>
      <w:numFmt w:val="lowerRoman"/>
      <w:lvlText w:val="%6."/>
      <w:lvlJc w:val="right"/>
      <w:pPr>
        <w:ind w:left="4330" w:hanging="180"/>
      </w:pPr>
    </w:lvl>
    <w:lvl w:ilvl="6" w:tplc="0C0A000F" w:tentative="1">
      <w:start w:val="1"/>
      <w:numFmt w:val="decimal"/>
      <w:lvlText w:val="%7."/>
      <w:lvlJc w:val="left"/>
      <w:pPr>
        <w:ind w:left="5050" w:hanging="360"/>
      </w:pPr>
    </w:lvl>
    <w:lvl w:ilvl="7" w:tplc="0C0A0019" w:tentative="1">
      <w:start w:val="1"/>
      <w:numFmt w:val="lowerLetter"/>
      <w:lvlText w:val="%8."/>
      <w:lvlJc w:val="left"/>
      <w:pPr>
        <w:ind w:left="5770" w:hanging="360"/>
      </w:pPr>
    </w:lvl>
    <w:lvl w:ilvl="8" w:tplc="0C0A001B" w:tentative="1">
      <w:start w:val="1"/>
      <w:numFmt w:val="lowerRoman"/>
      <w:lvlText w:val="%9."/>
      <w:lvlJc w:val="right"/>
      <w:pPr>
        <w:ind w:left="6490" w:hanging="180"/>
      </w:pPr>
    </w:lvl>
  </w:abstractNum>
  <w:abstractNum w:abstractNumId="20" w15:restartNumberingAfterBreak="0">
    <w:nsid w:val="59E90B55"/>
    <w:multiLevelType w:val="hybridMultilevel"/>
    <w:tmpl w:val="C96CC0A4"/>
    <w:lvl w:ilvl="0" w:tplc="0C0A000B">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5E5C2D0C"/>
    <w:multiLevelType w:val="hybridMultilevel"/>
    <w:tmpl w:val="C290B584"/>
    <w:lvl w:ilvl="0" w:tplc="10FCE924">
      <w:start w:val="1"/>
      <w:numFmt w:val="bullet"/>
      <w:lvlText w:val="•"/>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ECBD5C">
      <w:start w:val="1"/>
      <w:numFmt w:val="bullet"/>
      <w:lvlText w:val="o"/>
      <w:lvlJc w:val="left"/>
      <w:pPr>
        <w:ind w:left="17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D818F8">
      <w:start w:val="1"/>
      <w:numFmt w:val="bullet"/>
      <w:lvlText w:val="▪"/>
      <w:lvlJc w:val="left"/>
      <w:pPr>
        <w:ind w:left="2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92CF26">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42AA76">
      <w:start w:val="1"/>
      <w:numFmt w:val="bullet"/>
      <w:lvlText w:val="o"/>
      <w:lvlJc w:val="left"/>
      <w:pPr>
        <w:ind w:left="38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263422">
      <w:start w:val="1"/>
      <w:numFmt w:val="bullet"/>
      <w:lvlText w:val="▪"/>
      <w:lvlJc w:val="left"/>
      <w:pPr>
        <w:ind w:left="4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F8DFEE">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B6BDFC">
      <w:start w:val="1"/>
      <w:numFmt w:val="bullet"/>
      <w:lvlText w:val="o"/>
      <w:lvlJc w:val="left"/>
      <w:pPr>
        <w:ind w:left="60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126124">
      <w:start w:val="1"/>
      <w:numFmt w:val="bullet"/>
      <w:lvlText w:val="▪"/>
      <w:lvlJc w:val="left"/>
      <w:pPr>
        <w:ind w:left="6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906AC7"/>
    <w:multiLevelType w:val="hybridMultilevel"/>
    <w:tmpl w:val="354AA816"/>
    <w:lvl w:ilvl="0" w:tplc="0C0A0017">
      <w:start w:val="1"/>
      <w:numFmt w:val="lowerLetter"/>
      <w:lvlText w:val="%1)"/>
      <w:lvlJc w:val="left"/>
      <w:pPr>
        <w:ind w:left="1341" w:hanging="360"/>
      </w:pPr>
    </w:lvl>
    <w:lvl w:ilvl="1" w:tplc="0C0A0019">
      <w:start w:val="1"/>
      <w:numFmt w:val="lowerLetter"/>
      <w:lvlText w:val="%2."/>
      <w:lvlJc w:val="left"/>
      <w:pPr>
        <w:ind w:left="2061" w:hanging="360"/>
      </w:pPr>
    </w:lvl>
    <w:lvl w:ilvl="2" w:tplc="0C0A001B" w:tentative="1">
      <w:start w:val="1"/>
      <w:numFmt w:val="lowerRoman"/>
      <w:lvlText w:val="%3."/>
      <w:lvlJc w:val="right"/>
      <w:pPr>
        <w:ind w:left="2781" w:hanging="180"/>
      </w:pPr>
    </w:lvl>
    <w:lvl w:ilvl="3" w:tplc="0C0A000F" w:tentative="1">
      <w:start w:val="1"/>
      <w:numFmt w:val="decimal"/>
      <w:lvlText w:val="%4."/>
      <w:lvlJc w:val="left"/>
      <w:pPr>
        <w:ind w:left="3501" w:hanging="360"/>
      </w:pPr>
    </w:lvl>
    <w:lvl w:ilvl="4" w:tplc="0C0A0019" w:tentative="1">
      <w:start w:val="1"/>
      <w:numFmt w:val="lowerLetter"/>
      <w:lvlText w:val="%5."/>
      <w:lvlJc w:val="left"/>
      <w:pPr>
        <w:ind w:left="4221" w:hanging="360"/>
      </w:pPr>
    </w:lvl>
    <w:lvl w:ilvl="5" w:tplc="0C0A001B" w:tentative="1">
      <w:start w:val="1"/>
      <w:numFmt w:val="lowerRoman"/>
      <w:lvlText w:val="%6."/>
      <w:lvlJc w:val="right"/>
      <w:pPr>
        <w:ind w:left="4941" w:hanging="180"/>
      </w:pPr>
    </w:lvl>
    <w:lvl w:ilvl="6" w:tplc="0C0A000F" w:tentative="1">
      <w:start w:val="1"/>
      <w:numFmt w:val="decimal"/>
      <w:lvlText w:val="%7."/>
      <w:lvlJc w:val="left"/>
      <w:pPr>
        <w:ind w:left="5661" w:hanging="360"/>
      </w:pPr>
    </w:lvl>
    <w:lvl w:ilvl="7" w:tplc="0C0A0019" w:tentative="1">
      <w:start w:val="1"/>
      <w:numFmt w:val="lowerLetter"/>
      <w:lvlText w:val="%8."/>
      <w:lvlJc w:val="left"/>
      <w:pPr>
        <w:ind w:left="6381" w:hanging="360"/>
      </w:pPr>
    </w:lvl>
    <w:lvl w:ilvl="8" w:tplc="0C0A001B" w:tentative="1">
      <w:start w:val="1"/>
      <w:numFmt w:val="lowerRoman"/>
      <w:lvlText w:val="%9."/>
      <w:lvlJc w:val="right"/>
      <w:pPr>
        <w:ind w:left="7101" w:hanging="180"/>
      </w:pPr>
    </w:lvl>
  </w:abstractNum>
  <w:abstractNum w:abstractNumId="23" w15:restartNumberingAfterBreak="0">
    <w:nsid w:val="608D51E2"/>
    <w:multiLevelType w:val="hybridMultilevel"/>
    <w:tmpl w:val="1BF84338"/>
    <w:lvl w:ilvl="0" w:tplc="0C0A0011">
      <w:start w:val="1"/>
      <w:numFmt w:val="decimal"/>
      <w:lvlText w:val="%1)"/>
      <w:lvlJc w:val="left"/>
      <w:pPr>
        <w:ind w:left="644" w:hanging="360"/>
      </w:pPr>
      <w:rPr>
        <w:rFonts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12303E"/>
    <w:multiLevelType w:val="hybridMultilevel"/>
    <w:tmpl w:val="200CF514"/>
    <w:lvl w:ilvl="0" w:tplc="0C0A0015">
      <w:start w:val="1"/>
      <w:numFmt w:val="upperLetter"/>
      <w:lvlText w:val="%1."/>
      <w:lvlJc w:val="left"/>
      <w:pPr>
        <w:ind w:left="730" w:hanging="360"/>
      </w:pPr>
    </w:lvl>
    <w:lvl w:ilvl="1" w:tplc="0C0A0019" w:tentative="1">
      <w:start w:val="1"/>
      <w:numFmt w:val="lowerLetter"/>
      <w:lvlText w:val="%2."/>
      <w:lvlJc w:val="left"/>
      <w:pPr>
        <w:ind w:left="1450" w:hanging="360"/>
      </w:pPr>
    </w:lvl>
    <w:lvl w:ilvl="2" w:tplc="0C0A001B" w:tentative="1">
      <w:start w:val="1"/>
      <w:numFmt w:val="lowerRoman"/>
      <w:lvlText w:val="%3."/>
      <w:lvlJc w:val="right"/>
      <w:pPr>
        <w:ind w:left="2170" w:hanging="180"/>
      </w:pPr>
    </w:lvl>
    <w:lvl w:ilvl="3" w:tplc="0C0A000F" w:tentative="1">
      <w:start w:val="1"/>
      <w:numFmt w:val="decimal"/>
      <w:lvlText w:val="%4."/>
      <w:lvlJc w:val="left"/>
      <w:pPr>
        <w:ind w:left="2890" w:hanging="360"/>
      </w:pPr>
    </w:lvl>
    <w:lvl w:ilvl="4" w:tplc="0C0A0019" w:tentative="1">
      <w:start w:val="1"/>
      <w:numFmt w:val="lowerLetter"/>
      <w:lvlText w:val="%5."/>
      <w:lvlJc w:val="left"/>
      <w:pPr>
        <w:ind w:left="3610" w:hanging="360"/>
      </w:pPr>
    </w:lvl>
    <w:lvl w:ilvl="5" w:tplc="0C0A001B" w:tentative="1">
      <w:start w:val="1"/>
      <w:numFmt w:val="lowerRoman"/>
      <w:lvlText w:val="%6."/>
      <w:lvlJc w:val="right"/>
      <w:pPr>
        <w:ind w:left="4330" w:hanging="180"/>
      </w:pPr>
    </w:lvl>
    <w:lvl w:ilvl="6" w:tplc="0C0A000F" w:tentative="1">
      <w:start w:val="1"/>
      <w:numFmt w:val="decimal"/>
      <w:lvlText w:val="%7."/>
      <w:lvlJc w:val="left"/>
      <w:pPr>
        <w:ind w:left="5050" w:hanging="360"/>
      </w:pPr>
    </w:lvl>
    <w:lvl w:ilvl="7" w:tplc="0C0A0019" w:tentative="1">
      <w:start w:val="1"/>
      <w:numFmt w:val="lowerLetter"/>
      <w:lvlText w:val="%8."/>
      <w:lvlJc w:val="left"/>
      <w:pPr>
        <w:ind w:left="5770" w:hanging="360"/>
      </w:pPr>
    </w:lvl>
    <w:lvl w:ilvl="8" w:tplc="0C0A001B" w:tentative="1">
      <w:start w:val="1"/>
      <w:numFmt w:val="lowerRoman"/>
      <w:lvlText w:val="%9."/>
      <w:lvlJc w:val="right"/>
      <w:pPr>
        <w:ind w:left="6490" w:hanging="180"/>
      </w:pPr>
    </w:lvl>
  </w:abstractNum>
  <w:abstractNum w:abstractNumId="25" w15:restartNumberingAfterBreak="0">
    <w:nsid w:val="6D5224A0"/>
    <w:multiLevelType w:val="hybridMultilevel"/>
    <w:tmpl w:val="A8EE5C3E"/>
    <w:lvl w:ilvl="0" w:tplc="4EDA815E">
      <w:start w:val="1"/>
      <w:numFmt w:val="lowerLetter"/>
      <w:lvlText w:val="%1)"/>
      <w:lvlJc w:val="left"/>
      <w:pPr>
        <w:ind w:left="10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02E608C">
      <w:start w:val="1"/>
      <w:numFmt w:val="lowerLetter"/>
      <w:lvlText w:val="%2"/>
      <w:lvlJc w:val="left"/>
      <w:pPr>
        <w:ind w:left="17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F281DE4">
      <w:start w:val="1"/>
      <w:numFmt w:val="lowerRoman"/>
      <w:lvlText w:val="%3"/>
      <w:lvlJc w:val="left"/>
      <w:pPr>
        <w:ind w:left="25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940C658">
      <w:start w:val="1"/>
      <w:numFmt w:val="decimal"/>
      <w:lvlText w:val="%4"/>
      <w:lvlJc w:val="left"/>
      <w:pPr>
        <w:ind w:left="32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818A28E">
      <w:start w:val="1"/>
      <w:numFmt w:val="lowerLetter"/>
      <w:lvlText w:val="%5"/>
      <w:lvlJc w:val="left"/>
      <w:pPr>
        <w:ind w:left="39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7409276">
      <w:start w:val="1"/>
      <w:numFmt w:val="lowerRoman"/>
      <w:lvlText w:val="%6"/>
      <w:lvlJc w:val="left"/>
      <w:pPr>
        <w:ind w:left="46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10C3D2E">
      <w:start w:val="1"/>
      <w:numFmt w:val="decimal"/>
      <w:lvlText w:val="%7"/>
      <w:lvlJc w:val="left"/>
      <w:pPr>
        <w:ind w:left="53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E3CA8F2">
      <w:start w:val="1"/>
      <w:numFmt w:val="lowerLetter"/>
      <w:lvlText w:val="%8"/>
      <w:lvlJc w:val="left"/>
      <w:pPr>
        <w:ind w:left="61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024937C">
      <w:start w:val="1"/>
      <w:numFmt w:val="lowerRoman"/>
      <w:lvlText w:val="%9"/>
      <w:lvlJc w:val="left"/>
      <w:pPr>
        <w:ind w:left="68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F74733D"/>
    <w:multiLevelType w:val="hybridMultilevel"/>
    <w:tmpl w:val="946C7032"/>
    <w:lvl w:ilvl="0" w:tplc="CF186FB0">
      <w:start w:val="1"/>
      <w:numFmt w:val="bullet"/>
      <w:lvlText w:val="➢"/>
      <w:lvlJc w:val="left"/>
      <w:pPr>
        <w:ind w:left="772"/>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1" w:tplc="0FE2C5DE">
      <w:start w:val="1"/>
      <w:numFmt w:val="bullet"/>
      <w:lvlText w:val="o"/>
      <w:lvlJc w:val="left"/>
      <w:pPr>
        <w:ind w:left="119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2" w:tplc="530C8D3A">
      <w:start w:val="1"/>
      <w:numFmt w:val="bullet"/>
      <w:lvlText w:val="▪"/>
      <w:lvlJc w:val="left"/>
      <w:pPr>
        <w:ind w:left="191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3" w:tplc="718210A4">
      <w:start w:val="1"/>
      <w:numFmt w:val="bullet"/>
      <w:lvlText w:val="•"/>
      <w:lvlJc w:val="left"/>
      <w:pPr>
        <w:ind w:left="263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4" w:tplc="B09CD446">
      <w:start w:val="1"/>
      <w:numFmt w:val="bullet"/>
      <w:lvlText w:val="o"/>
      <w:lvlJc w:val="left"/>
      <w:pPr>
        <w:ind w:left="335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5" w:tplc="39CEF4CC">
      <w:start w:val="1"/>
      <w:numFmt w:val="bullet"/>
      <w:lvlText w:val="▪"/>
      <w:lvlJc w:val="left"/>
      <w:pPr>
        <w:ind w:left="407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6" w:tplc="BCE41F0C">
      <w:start w:val="1"/>
      <w:numFmt w:val="bullet"/>
      <w:lvlText w:val="•"/>
      <w:lvlJc w:val="left"/>
      <w:pPr>
        <w:ind w:left="479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7" w:tplc="843088A8">
      <w:start w:val="1"/>
      <w:numFmt w:val="bullet"/>
      <w:lvlText w:val="o"/>
      <w:lvlJc w:val="left"/>
      <w:pPr>
        <w:ind w:left="551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8" w:tplc="27B0F380">
      <w:start w:val="1"/>
      <w:numFmt w:val="bullet"/>
      <w:lvlText w:val="▪"/>
      <w:lvlJc w:val="left"/>
      <w:pPr>
        <w:ind w:left="623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abstractNum>
  <w:abstractNum w:abstractNumId="27" w15:restartNumberingAfterBreak="0">
    <w:nsid w:val="702C0FFF"/>
    <w:multiLevelType w:val="hybridMultilevel"/>
    <w:tmpl w:val="A4B669BA"/>
    <w:lvl w:ilvl="0" w:tplc="0C0A000B">
      <w:start w:val="1"/>
      <w:numFmt w:val="bullet"/>
      <w:lvlText w:val=""/>
      <w:lvlJc w:val="left"/>
      <w:pPr>
        <w:ind w:left="423" w:hanging="360"/>
      </w:pPr>
      <w:rPr>
        <w:rFonts w:ascii="Wingdings" w:hAnsi="Wingdings" w:hint="default"/>
      </w:rPr>
    </w:lvl>
    <w:lvl w:ilvl="1" w:tplc="0C0A0003" w:tentative="1">
      <w:start w:val="1"/>
      <w:numFmt w:val="bullet"/>
      <w:lvlText w:val="o"/>
      <w:lvlJc w:val="left"/>
      <w:pPr>
        <w:ind w:left="1143" w:hanging="360"/>
      </w:pPr>
      <w:rPr>
        <w:rFonts w:ascii="Courier New" w:hAnsi="Courier New" w:cs="Courier New" w:hint="default"/>
      </w:rPr>
    </w:lvl>
    <w:lvl w:ilvl="2" w:tplc="0C0A0005" w:tentative="1">
      <w:start w:val="1"/>
      <w:numFmt w:val="bullet"/>
      <w:lvlText w:val=""/>
      <w:lvlJc w:val="left"/>
      <w:pPr>
        <w:ind w:left="1863" w:hanging="360"/>
      </w:pPr>
      <w:rPr>
        <w:rFonts w:ascii="Wingdings" w:hAnsi="Wingdings" w:hint="default"/>
      </w:rPr>
    </w:lvl>
    <w:lvl w:ilvl="3" w:tplc="0C0A0001" w:tentative="1">
      <w:start w:val="1"/>
      <w:numFmt w:val="bullet"/>
      <w:lvlText w:val=""/>
      <w:lvlJc w:val="left"/>
      <w:pPr>
        <w:ind w:left="2583" w:hanging="360"/>
      </w:pPr>
      <w:rPr>
        <w:rFonts w:ascii="Symbol" w:hAnsi="Symbol" w:hint="default"/>
      </w:rPr>
    </w:lvl>
    <w:lvl w:ilvl="4" w:tplc="0C0A0003" w:tentative="1">
      <w:start w:val="1"/>
      <w:numFmt w:val="bullet"/>
      <w:lvlText w:val="o"/>
      <w:lvlJc w:val="left"/>
      <w:pPr>
        <w:ind w:left="3303" w:hanging="360"/>
      </w:pPr>
      <w:rPr>
        <w:rFonts w:ascii="Courier New" w:hAnsi="Courier New" w:cs="Courier New" w:hint="default"/>
      </w:rPr>
    </w:lvl>
    <w:lvl w:ilvl="5" w:tplc="0C0A0005" w:tentative="1">
      <w:start w:val="1"/>
      <w:numFmt w:val="bullet"/>
      <w:lvlText w:val=""/>
      <w:lvlJc w:val="left"/>
      <w:pPr>
        <w:ind w:left="4023" w:hanging="360"/>
      </w:pPr>
      <w:rPr>
        <w:rFonts w:ascii="Wingdings" w:hAnsi="Wingdings" w:hint="default"/>
      </w:rPr>
    </w:lvl>
    <w:lvl w:ilvl="6" w:tplc="0C0A0001" w:tentative="1">
      <w:start w:val="1"/>
      <w:numFmt w:val="bullet"/>
      <w:lvlText w:val=""/>
      <w:lvlJc w:val="left"/>
      <w:pPr>
        <w:ind w:left="4743" w:hanging="360"/>
      </w:pPr>
      <w:rPr>
        <w:rFonts w:ascii="Symbol" w:hAnsi="Symbol" w:hint="default"/>
      </w:rPr>
    </w:lvl>
    <w:lvl w:ilvl="7" w:tplc="0C0A0003" w:tentative="1">
      <w:start w:val="1"/>
      <w:numFmt w:val="bullet"/>
      <w:lvlText w:val="o"/>
      <w:lvlJc w:val="left"/>
      <w:pPr>
        <w:ind w:left="5463" w:hanging="360"/>
      </w:pPr>
      <w:rPr>
        <w:rFonts w:ascii="Courier New" w:hAnsi="Courier New" w:cs="Courier New" w:hint="default"/>
      </w:rPr>
    </w:lvl>
    <w:lvl w:ilvl="8" w:tplc="0C0A0005" w:tentative="1">
      <w:start w:val="1"/>
      <w:numFmt w:val="bullet"/>
      <w:lvlText w:val=""/>
      <w:lvlJc w:val="left"/>
      <w:pPr>
        <w:ind w:left="6183" w:hanging="360"/>
      </w:pPr>
      <w:rPr>
        <w:rFonts w:ascii="Wingdings" w:hAnsi="Wingdings" w:hint="default"/>
      </w:rPr>
    </w:lvl>
  </w:abstractNum>
  <w:abstractNum w:abstractNumId="28" w15:restartNumberingAfterBreak="0">
    <w:nsid w:val="7382066F"/>
    <w:multiLevelType w:val="hybridMultilevel"/>
    <w:tmpl w:val="B8205996"/>
    <w:lvl w:ilvl="0" w:tplc="50B6EB2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B02822">
      <w:numFmt w:val="bullet"/>
      <w:lvlText w:val="-"/>
      <w:lvlJc w:val="left"/>
      <w:pPr>
        <w:ind w:left="1485" w:hanging="405"/>
      </w:pPr>
      <w:rPr>
        <w:rFonts w:ascii="Arial" w:eastAsia="Verdana" w:hAnsi="Arial" w:cs="Arial" w:hint="default"/>
      </w:rPr>
    </w:lvl>
    <w:lvl w:ilvl="2" w:tplc="22BA8812">
      <w:numFmt w:val="bullet"/>
      <w:lvlText w:val="➢"/>
      <w:lvlJc w:val="left"/>
      <w:pPr>
        <w:ind w:left="2160" w:hanging="360"/>
      </w:pPr>
      <w:rPr>
        <w:rFonts w:ascii="Wingdings" w:eastAsia="Wingdings" w:hAnsi="Wingdings" w:cs="Wingdings" w:hint="default"/>
        <w:color w:val="0000FF"/>
        <w:sz w:val="28"/>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5825E2"/>
    <w:multiLevelType w:val="hybridMultilevel"/>
    <w:tmpl w:val="8FCC25A2"/>
    <w:lvl w:ilvl="0" w:tplc="DAF45236">
      <w:start w:val="2"/>
      <w:numFmt w:val="decimal"/>
      <w:lvlText w:val="%1."/>
      <w:lvlJc w:val="left"/>
      <w:pPr>
        <w:ind w:left="345"/>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FFB8F852">
      <w:start w:val="1"/>
      <w:numFmt w:val="lowerLetter"/>
      <w:lvlText w:val="%2)"/>
      <w:lvlJc w:val="left"/>
      <w:pPr>
        <w:ind w:left="1426"/>
      </w:pPr>
      <w:rPr>
        <w:rFonts w:ascii="Arial" w:eastAsia="Verdana" w:hAnsi="Arial" w:cs="Arial" w:hint="default"/>
        <w:b w:val="0"/>
        <w:i w:val="0"/>
        <w:strike w:val="0"/>
        <w:dstrike w:val="0"/>
        <w:color w:val="000000"/>
        <w:sz w:val="22"/>
        <w:szCs w:val="22"/>
        <w:u w:val="none" w:color="000000"/>
        <w:bdr w:val="none" w:sz="0" w:space="0" w:color="auto"/>
        <w:shd w:val="clear" w:color="auto" w:fill="auto"/>
        <w:vertAlign w:val="baseline"/>
      </w:rPr>
    </w:lvl>
    <w:lvl w:ilvl="2" w:tplc="ECC275D6">
      <w:start w:val="1"/>
      <w:numFmt w:val="lowerRoman"/>
      <w:lvlText w:val="%3"/>
      <w:lvlJc w:val="left"/>
      <w:pPr>
        <w:ind w:left="17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2AA1B50">
      <w:start w:val="1"/>
      <w:numFmt w:val="decimal"/>
      <w:lvlText w:val="%4"/>
      <w:lvlJc w:val="left"/>
      <w:pPr>
        <w:ind w:left="25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17A16C2">
      <w:start w:val="1"/>
      <w:numFmt w:val="lowerLetter"/>
      <w:lvlText w:val="%5"/>
      <w:lvlJc w:val="left"/>
      <w:pPr>
        <w:ind w:left="32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3564A96">
      <w:start w:val="1"/>
      <w:numFmt w:val="lowerRoman"/>
      <w:lvlText w:val="%6"/>
      <w:lvlJc w:val="left"/>
      <w:pPr>
        <w:ind w:left="39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EF88954">
      <w:start w:val="1"/>
      <w:numFmt w:val="decimal"/>
      <w:lvlText w:val="%7"/>
      <w:lvlJc w:val="left"/>
      <w:pPr>
        <w:ind w:left="46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4AC3366">
      <w:start w:val="1"/>
      <w:numFmt w:val="lowerLetter"/>
      <w:lvlText w:val="%8"/>
      <w:lvlJc w:val="left"/>
      <w:pPr>
        <w:ind w:left="53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61E68DE">
      <w:start w:val="1"/>
      <w:numFmt w:val="lowerRoman"/>
      <w:lvlText w:val="%9"/>
      <w:lvlJc w:val="left"/>
      <w:pPr>
        <w:ind w:left="61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9963E59"/>
    <w:multiLevelType w:val="hybridMultilevel"/>
    <w:tmpl w:val="5A1A0140"/>
    <w:lvl w:ilvl="0" w:tplc="50B6EB2E">
      <w:start w:val="1"/>
      <w:numFmt w:val="bullet"/>
      <w:lvlText w:val="•"/>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6652A2">
      <w:start w:val="1"/>
      <w:numFmt w:val="lowerLetter"/>
      <w:lvlText w:val="%2)"/>
      <w:lvlJc w:val="left"/>
      <w:pPr>
        <w:ind w:left="9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ABE8222">
      <w:start w:val="1"/>
      <w:numFmt w:val="lowerRoman"/>
      <w:lvlText w:val="%3"/>
      <w:lvlJc w:val="left"/>
      <w:pPr>
        <w:ind w:left="13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8DA26E4">
      <w:start w:val="1"/>
      <w:numFmt w:val="decimal"/>
      <w:lvlText w:val="%4"/>
      <w:lvlJc w:val="left"/>
      <w:pPr>
        <w:ind w:left="20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A384532">
      <w:start w:val="1"/>
      <w:numFmt w:val="lowerLetter"/>
      <w:lvlText w:val="%5"/>
      <w:lvlJc w:val="left"/>
      <w:pPr>
        <w:ind w:left="28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E28270C">
      <w:start w:val="1"/>
      <w:numFmt w:val="lowerRoman"/>
      <w:lvlText w:val="%6"/>
      <w:lvlJc w:val="left"/>
      <w:pPr>
        <w:ind w:left="35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6D224EC">
      <w:start w:val="1"/>
      <w:numFmt w:val="decimal"/>
      <w:lvlText w:val="%7"/>
      <w:lvlJc w:val="left"/>
      <w:pPr>
        <w:ind w:left="42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E7AA510">
      <w:start w:val="1"/>
      <w:numFmt w:val="lowerLetter"/>
      <w:lvlText w:val="%8"/>
      <w:lvlJc w:val="left"/>
      <w:pPr>
        <w:ind w:left="49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ECA6958">
      <w:start w:val="1"/>
      <w:numFmt w:val="lowerRoman"/>
      <w:lvlText w:val="%9"/>
      <w:lvlJc w:val="left"/>
      <w:pPr>
        <w:ind w:left="56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BA0727B"/>
    <w:multiLevelType w:val="hybridMultilevel"/>
    <w:tmpl w:val="74D0AADE"/>
    <w:lvl w:ilvl="0" w:tplc="B51C602A">
      <w:start w:val="1"/>
      <w:numFmt w:val="bullet"/>
      <w:lvlText w:val="➢"/>
      <w:lvlJc w:val="left"/>
      <w:pPr>
        <w:ind w:left="772"/>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1" w:tplc="C68ECB10">
      <w:start w:val="1"/>
      <w:numFmt w:val="bullet"/>
      <w:lvlText w:val="o"/>
      <w:lvlJc w:val="left"/>
      <w:pPr>
        <w:ind w:left="136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2" w:tplc="A98AB41E">
      <w:start w:val="1"/>
      <w:numFmt w:val="bullet"/>
      <w:lvlText w:val="▪"/>
      <w:lvlJc w:val="left"/>
      <w:pPr>
        <w:ind w:left="208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3" w:tplc="5F50FE34">
      <w:start w:val="1"/>
      <w:numFmt w:val="bullet"/>
      <w:lvlText w:val="•"/>
      <w:lvlJc w:val="left"/>
      <w:pPr>
        <w:ind w:left="280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4" w:tplc="D9784CE2">
      <w:start w:val="1"/>
      <w:numFmt w:val="bullet"/>
      <w:lvlText w:val="o"/>
      <w:lvlJc w:val="left"/>
      <w:pPr>
        <w:ind w:left="352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5" w:tplc="FADEA07C">
      <w:start w:val="1"/>
      <w:numFmt w:val="bullet"/>
      <w:lvlText w:val="▪"/>
      <w:lvlJc w:val="left"/>
      <w:pPr>
        <w:ind w:left="424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6" w:tplc="55EEF102">
      <w:start w:val="1"/>
      <w:numFmt w:val="bullet"/>
      <w:lvlText w:val="•"/>
      <w:lvlJc w:val="left"/>
      <w:pPr>
        <w:ind w:left="496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7" w:tplc="67662766">
      <w:start w:val="1"/>
      <w:numFmt w:val="bullet"/>
      <w:lvlText w:val="o"/>
      <w:lvlJc w:val="left"/>
      <w:pPr>
        <w:ind w:left="568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8" w:tplc="E7D22B06">
      <w:start w:val="1"/>
      <w:numFmt w:val="bullet"/>
      <w:lvlText w:val="▪"/>
      <w:lvlJc w:val="left"/>
      <w:pPr>
        <w:ind w:left="6408"/>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abstractNum>
  <w:num w:numId="1">
    <w:abstractNumId w:val="30"/>
  </w:num>
  <w:num w:numId="2">
    <w:abstractNumId w:val="21"/>
  </w:num>
  <w:num w:numId="3">
    <w:abstractNumId w:val="0"/>
  </w:num>
  <w:num w:numId="4">
    <w:abstractNumId w:val="15"/>
  </w:num>
  <w:num w:numId="5">
    <w:abstractNumId w:val="29"/>
  </w:num>
  <w:num w:numId="6">
    <w:abstractNumId w:val="14"/>
  </w:num>
  <w:num w:numId="7">
    <w:abstractNumId w:val="7"/>
  </w:num>
  <w:num w:numId="8">
    <w:abstractNumId w:val="10"/>
  </w:num>
  <w:num w:numId="9">
    <w:abstractNumId w:val="25"/>
  </w:num>
  <w:num w:numId="10">
    <w:abstractNumId w:val="16"/>
  </w:num>
  <w:num w:numId="11">
    <w:abstractNumId w:val="26"/>
  </w:num>
  <w:num w:numId="12">
    <w:abstractNumId w:val="31"/>
  </w:num>
  <w:num w:numId="13">
    <w:abstractNumId w:val="19"/>
  </w:num>
  <w:num w:numId="14">
    <w:abstractNumId w:val="24"/>
  </w:num>
  <w:num w:numId="15">
    <w:abstractNumId w:val="28"/>
  </w:num>
  <w:num w:numId="16">
    <w:abstractNumId w:val="2"/>
  </w:num>
  <w:num w:numId="17">
    <w:abstractNumId w:val="17"/>
  </w:num>
  <w:num w:numId="18">
    <w:abstractNumId w:val="1"/>
  </w:num>
  <w:num w:numId="19">
    <w:abstractNumId w:val="11"/>
  </w:num>
  <w:num w:numId="20">
    <w:abstractNumId w:val="27"/>
  </w:num>
  <w:num w:numId="21">
    <w:abstractNumId w:val="5"/>
  </w:num>
  <w:num w:numId="22">
    <w:abstractNumId w:val="18"/>
  </w:num>
  <w:num w:numId="23">
    <w:abstractNumId w:val="8"/>
  </w:num>
  <w:num w:numId="24">
    <w:abstractNumId w:val="4"/>
  </w:num>
  <w:num w:numId="25">
    <w:abstractNumId w:val="22"/>
  </w:num>
  <w:num w:numId="26">
    <w:abstractNumId w:val="12"/>
  </w:num>
  <w:num w:numId="27">
    <w:abstractNumId w:val="3"/>
  </w:num>
  <w:num w:numId="28">
    <w:abstractNumId w:val="6"/>
  </w:num>
  <w:num w:numId="29">
    <w:abstractNumId w:val="23"/>
  </w:num>
  <w:num w:numId="30">
    <w:abstractNumId w:val="13"/>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CC"/>
    <w:rsid w:val="00003194"/>
    <w:rsid w:val="00011F21"/>
    <w:rsid w:val="00035B26"/>
    <w:rsid w:val="00037DAC"/>
    <w:rsid w:val="00042964"/>
    <w:rsid w:val="000503B7"/>
    <w:rsid w:val="00052BD2"/>
    <w:rsid w:val="000629BC"/>
    <w:rsid w:val="00083644"/>
    <w:rsid w:val="000D75F4"/>
    <w:rsid w:val="000D7FBF"/>
    <w:rsid w:val="000E4AF4"/>
    <w:rsid w:val="000F0DDE"/>
    <w:rsid w:val="000F1A5B"/>
    <w:rsid w:val="000F668C"/>
    <w:rsid w:val="00112721"/>
    <w:rsid w:val="00116838"/>
    <w:rsid w:val="001240B2"/>
    <w:rsid w:val="00131FFC"/>
    <w:rsid w:val="00144063"/>
    <w:rsid w:val="00161884"/>
    <w:rsid w:val="00162C53"/>
    <w:rsid w:val="001819A3"/>
    <w:rsid w:val="00181FC4"/>
    <w:rsid w:val="0019165B"/>
    <w:rsid w:val="001953DB"/>
    <w:rsid w:val="001954DA"/>
    <w:rsid w:val="001B10EF"/>
    <w:rsid w:val="001B6BD7"/>
    <w:rsid w:val="001C78A4"/>
    <w:rsid w:val="001D04FC"/>
    <w:rsid w:val="001D5FE0"/>
    <w:rsid w:val="001E22B7"/>
    <w:rsid w:val="00203CD3"/>
    <w:rsid w:val="002070E6"/>
    <w:rsid w:val="00220805"/>
    <w:rsid w:val="00223B08"/>
    <w:rsid w:val="00230463"/>
    <w:rsid w:val="00251CA8"/>
    <w:rsid w:val="002541DC"/>
    <w:rsid w:val="00256925"/>
    <w:rsid w:val="00260FDA"/>
    <w:rsid w:val="00266AD4"/>
    <w:rsid w:val="00272B4B"/>
    <w:rsid w:val="00274FAD"/>
    <w:rsid w:val="00295FCC"/>
    <w:rsid w:val="00297D97"/>
    <w:rsid w:val="002A0AE6"/>
    <w:rsid w:val="002A21C0"/>
    <w:rsid w:val="002C4729"/>
    <w:rsid w:val="002F29AE"/>
    <w:rsid w:val="003038DE"/>
    <w:rsid w:val="00306294"/>
    <w:rsid w:val="0032406A"/>
    <w:rsid w:val="003268F1"/>
    <w:rsid w:val="00331617"/>
    <w:rsid w:val="00342598"/>
    <w:rsid w:val="0035489D"/>
    <w:rsid w:val="00365764"/>
    <w:rsid w:val="00384941"/>
    <w:rsid w:val="00396916"/>
    <w:rsid w:val="003A20B2"/>
    <w:rsid w:val="003A36BA"/>
    <w:rsid w:val="003B6B8B"/>
    <w:rsid w:val="003C6AD7"/>
    <w:rsid w:val="003D2302"/>
    <w:rsid w:val="004267C3"/>
    <w:rsid w:val="0043698F"/>
    <w:rsid w:val="0044396B"/>
    <w:rsid w:val="0045679D"/>
    <w:rsid w:val="00465F18"/>
    <w:rsid w:val="0047226E"/>
    <w:rsid w:val="004808B6"/>
    <w:rsid w:val="0049197C"/>
    <w:rsid w:val="004B02CB"/>
    <w:rsid w:val="004C08D1"/>
    <w:rsid w:val="004C13E6"/>
    <w:rsid w:val="004C4C0F"/>
    <w:rsid w:val="004D53DF"/>
    <w:rsid w:val="004E2FAA"/>
    <w:rsid w:val="004F1459"/>
    <w:rsid w:val="004F7059"/>
    <w:rsid w:val="00507829"/>
    <w:rsid w:val="00510F09"/>
    <w:rsid w:val="005129E8"/>
    <w:rsid w:val="00512B75"/>
    <w:rsid w:val="005306C2"/>
    <w:rsid w:val="00533120"/>
    <w:rsid w:val="00536C5A"/>
    <w:rsid w:val="00541FE4"/>
    <w:rsid w:val="005664A5"/>
    <w:rsid w:val="005717F0"/>
    <w:rsid w:val="00595EB5"/>
    <w:rsid w:val="005B25B9"/>
    <w:rsid w:val="005C6398"/>
    <w:rsid w:val="005E0096"/>
    <w:rsid w:val="00602EEF"/>
    <w:rsid w:val="006146AF"/>
    <w:rsid w:val="00616D11"/>
    <w:rsid w:val="0062194E"/>
    <w:rsid w:val="00625181"/>
    <w:rsid w:val="0064471C"/>
    <w:rsid w:val="006558A9"/>
    <w:rsid w:val="006617E3"/>
    <w:rsid w:val="00680476"/>
    <w:rsid w:val="0068531E"/>
    <w:rsid w:val="006859E2"/>
    <w:rsid w:val="006908C0"/>
    <w:rsid w:val="006A086A"/>
    <w:rsid w:val="006A72EF"/>
    <w:rsid w:val="006B1B9C"/>
    <w:rsid w:val="006B4C52"/>
    <w:rsid w:val="006B67B6"/>
    <w:rsid w:val="006C574C"/>
    <w:rsid w:val="006C6F3C"/>
    <w:rsid w:val="006D1668"/>
    <w:rsid w:val="006D4E00"/>
    <w:rsid w:val="006D56CF"/>
    <w:rsid w:val="006D589B"/>
    <w:rsid w:val="006D675F"/>
    <w:rsid w:val="007151D6"/>
    <w:rsid w:val="00716B2D"/>
    <w:rsid w:val="007203FA"/>
    <w:rsid w:val="00725C63"/>
    <w:rsid w:val="007370F0"/>
    <w:rsid w:val="00744185"/>
    <w:rsid w:val="007670BE"/>
    <w:rsid w:val="007778C4"/>
    <w:rsid w:val="00783584"/>
    <w:rsid w:val="007866FB"/>
    <w:rsid w:val="007A1576"/>
    <w:rsid w:val="007A35AE"/>
    <w:rsid w:val="007A5837"/>
    <w:rsid w:val="007C26BF"/>
    <w:rsid w:val="007C7602"/>
    <w:rsid w:val="007D5A2B"/>
    <w:rsid w:val="00801D66"/>
    <w:rsid w:val="00805E39"/>
    <w:rsid w:val="00807911"/>
    <w:rsid w:val="0081562D"/>
    <w:rsid w:val="008345F3"/>
    <w:rsid w:val="00835B60"/>
    <w:rsid w:val="00845581"/>
    <w:rsid w:val="008545B2"/>
    <w:rsid w:val="0086209C"/>
    <w:rsid w:val="00865E54"/>
    <w:rsid w:val="008A728B"/>
    <w:rsid w:val="008B1AFE"/>
    <w:rsid w:val="008B2F61"/>
    <w:rsid w:val="008D48E0"/>
    <w:rsid w:val="009053B7"/>
    <w:rsid w:val="00924D48"/>
    <w:rsid w:val="00934844"/>
    <w:rsid w:val="009537AF"/>
    <w:rsid w:val="00955EDA"/>
    <w:rsid w:val="0095612D"/>
    <w:rsid w:val="009600B7"/>
    <w:rsid w:val="009734A3"/>
    <w:rsid w:val="00974C64"/>
    <w:rsid w:val="0098386A"/>
    <w:rsid w:val="009938D9"/>
    <w:rsid w:val="0099466B"/>
    <w:rsid w:val="009A543C"/>
    <w:rsid w:val="009B4EDF"/>
    <w:rsid w:val="009B64C8"/>
    <w:rsid w:val="009C3B08"/>
    <w:rsid w:val="009D6729"/>
    <w:rsid w:val="009D6E73"/>
    <w:rsid w:val="009F1792"/>
    <w:rsid w:val="00A07D69"/>
    <w:rsid w:val="00A16FD0"/>
    <w:rsid w:val="00A35EF1"/>
    <w:rsid w:val="00A54647"/>
    <w:rsid w:val="00A65207"/>
    <w:rsid w:val="00A76E21"/>
    <w:rsid w:val="00A80593"/>
    <w:rsid w:val="00AA2441"/>
    <w:rsid w:val="00AA5698"/>
    <w:rsid w:val="00AC233E"/>
    <w:rsid w:val="00AC458C"/>
    <w:rsid w:val="00AC77FC"/>
    <w:rsid w:val="00AD2A38"/>
    <w:rsid w:val="00AE14E5"/>
    <w:rsid w:val="00B046AD"/>
    <w:rsid w:val="00B16020"/>
    <w:rsid w:val="00B22051"/>
    <w:rsid w:val="00B22B9B"/>
    <w:rsid w:val="00B2774B"/>
    <w:rsid w:val="00B417F6"/>
    <w:rsid w:val="00B46ADA"/>
    <w:rsid w:val="00B47068"/>
    <w:rsid w:val="00B561F9"/>
    <w:rsid w:val="00B665AD"/>
    <w:rsid w:val="00B66EBD"/>
    <w:rsid w:val="00B84C88"/>
    <w:rsid w:val="00B90916"/>
    <w:rsid w:val="00BA4CF4"/>
    <w:rsid w:val="00BB0C13"/>
    <w:rsid w:val="00BB33FF"/>
    <w:rsid w:val="00BB7CCC"/>
    <w:rsid w:val="00BD1E4A"/>
    <w:rsid w:val="00BD6C4E"/>
    <w:rsid w:val="00C04382"/>
    <w:rsid w:val="00C241FE"/>
    <w:rsid w:val="00C710F1"/>
    <w:rsid w:val="00C84465"/>
    <w:rsid w:val="00C86028"/>
    <w:rsid w:val="00C8659E"/>
    <w:rsid w:val="00C911EF"/>
    <w:rsid w:val="00C967CC"/>
    <w:rsid w:val="00C97566"/>
    <w:rsid w:val="00CA0B7C"/>
    <w:rsid w:val="00CA2AC1"/>
    <w:rsid w:val="00CB184A"/>
    <w:rsid w:val="00CC30AE"/>
    <w:rsid w:val="00CC5CCC"/>
    <w:rsid w:val="00CE0012"/>
    <w:rsid w:val="00CE6684"/>
    <w:rsid w:val="00CF1091"/>
    <w:rsid w:val="00D04B15"/>
    <w:rsid w:val="00D44133"/>
    <w:rsid w:val="00D567BD"/>
    <w:rsid w:val="00D577C4"/>
    <w:rsid w:val="00D73FB4"/>
    <w:rsid w:val="00D77818"/>
    <w:rsid w:val="00D86328"/>
    <w:rsid w:val="00D94C4A"/>
    <w:rsid w:val="00DB5F09"/>
    <w:rsid w:val="00DB6358"/>
    <w:rsid w:val="00DC04AE"/>
    <w:rsid w:val="00DC1DAE"/>
    <w:rsid w:val="00DC474D"/>
    <w:rsid w:val="00DF0D5B"/>
    <w:rsid w:val="00E13336"/>
    <w:rsid w:val="00E2492F"/>
    <w:rsid w:val="00E30FF9"/>
    <w:rsid w:val="00E5002A"/>
    <w:rsid w:val="00E65E3F"/>
    <w:rsid w:val="00E7528A"/>
    <w:rsid w:val="00E77D8B"/>
    <w:rsid w:val="00E81F52"/>
    <w:rsid w:val="00E82CB4"/>
    <w:rsid w:val="00E95F85"/>
    <w:rsid w:val="00EA7D26"/>
    <w:rsid w:val="00EC0C59"/>
    <w:rsid w:val="00EC0CDB"/>
    <w:rsid w:val="00EC28C0"/>
    <w:rsid w:val="00EC796F"/>
    <w:rsid w:val="00ED13E3"/>
    <w:rsid w:val="00EE3524"/>
    <w:rsid w:val="00EF36BE"/>
    <w:rsid w:val="00EF5691"/>
    <w:rsid w:val="00F00165"/>
    <w:rsid w:val="00F07DC8"/>
    <w:rsid w:val="00F4585A"/>
    <w:rsid w:val="00F51F70"/>
    <w:rsid w:val="00F537C0"/>
    <w:rsid w:val="00F66DA9"/>
    <w:rsid w:val="00FA3024"/>
    <w:rsid w:val="00FA5E51"/>
    <w:rsid w:val="00FB4655"/>
    <w:rsid w:val="00FC1513"/>
    <w:rsid w:val="00FD76FA"/>
    <w:rsid w:val="00FE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6147"/>
  <w15:docId w15:val="{2540F414-CAC6-4B8D-8B84-EE42E7B5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051"/>
    <w:pPr>
      <w:spacing w:after="5" w:line="249" w:lineRule="auto"/>
      <w:ind w:left="653" w:right="248" w:hanging="10"/>
      <w:jc w:val="both"/>
    </w:pPr>
    <w:rPr>
      <w:rFonts w:ascii="Verdana" w:eastAsia="Verdana" w:hAnsi="Verdana" w:cs="Verdana"/>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extoindependiente21">
    <w:name w:val="Texto independiente 21"/>
    <w:basedOn w:val="Normal"/>
    <w:rsid w:val="00FB4655"/>
    <w:pPr>
      <w:widowControl w:val="0"/>
      <w:spacing w:after="0" w:line="240" w:lineRule="auto"/>
      <w:ind w:left="0" w:right="0" w:firstLine="567"/>
    </w:pPr>
    <w:rPr>
      <w:rFonts w:ascii="Times New Roman" w:eastAsia="Times New Roman" w:hAnsi="Times New Roman" w:cs="Times New Roman"/>
      <w:color w:val="auto"/>
      <w:sz w:val="20"/>
      <w:szCs w:val="20"/>
      <w:lang w:val="es-ES_tradnl"/>
    </w:rPr>
  </w:style>
  <w:style w:type="table" w:styleId="Tablaconcuadrcula">
    <w:name w:val="Table Grid"/>
    <w:basedOn w:val="Tablanormal"/>
    <w:uiPriority w:val="39"/>
    <w:rsid w:val="000E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4396B"/>
    <w:pPr>
      <w:ind w:left="720"/>
      <w:contextualSpacing/>
    </w:pPr>
  </w:style>
  <w:style w:type="paragraph" w:styleId="Textodeglobo">
    <w:name w:val="Balloon Text"/>
    <w:basedOn w:val="Normal"/>
    <w:link w:val="TextodegloboCar"/>
    <w:uiPriority w:val="99"/>
    <w:semiHidden/>
    <w:unhideWhenUsed/>
    <w:rsid w:val="001B10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0EF"/>
    <w:rPr>
      <w:rFonts w:ascii="Segoe UI" w:eastAsia="Verdana" w:hAnsi="Segoe UI" w:cs="Segoe UI"/>
      <w:color w:val="000000"/>
      <w:sz w:val="18"/>
      <w:szCs w:val="18"/>
    </w:rPr>
  </w:style>
  <w:style w:type="character" w:styleId="Hipervnculo">
    <w:name w:val="Hyperlink"/>
    <w:basedOn w:val="Fuentedeprrafopredeter"/>
    <w:uiPriority w:val="99"/>
    <w:unhideWhenUsed/>
    <w:rsid w:val="00112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793872">
      <w:bodyDiv w:val="1"/>
      <w:marLeft w:val="0"/>
      <w:marRight w:val="0"/>
      <w:marTop w:val="0"/>
      <w:marBottom w:val="0"/>
      <w:divBdr>
        <w:top w:val="none" w:sz="0" w:space="0" w:color="auto"/>
        <w:left w:val="none" w:sz="0" w:space="0" w:color="auto"/>
        <w:bottom w:val="none" w:sz="0" w:space="0" w:color="auto"/>
        <w:right w:val="none" w:sz="0" w:space="0" w:color="auto"/>
      </w:divBdr>
    </w:div>
    <w:div w:id="2035305355">
      <w:bodyDiv w:val="1"/>
      <w:marLeft w:val="0"/>
      <w:marRight w:val="0"/>
      <w:marTop w:val="0"/>
      <w:marBottom w:val="0"/>
      <w:divBdr>
        <w:top w:val="none" w:sz="0" w:space="0" w:color="auto"/>
        <w:left w:val="none" w:sz="0" w:space="0" w:color="auto"/>
        <w:bottom w:val="none" w:sz="0" w:space="0" w:color="auto"/>
        <w:right w:val="none" w:sz="0" w:space="0" w:color="auto"/>
      </w:divBdr>
      <w:divsChild>
        <w:div w:id="16770282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cienda.gob.es/Documentacion/Publico/DGCFEL/Endeudamiento/Nota%20Informativa%20Endeudamiento%202021_v2_Indice%20definitiva.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cienda.gob.es/es-ES/Prensa/En%20Portada/2023/Paginas/20231211-CNAL.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javascript:Redirection('LE0000480899_Vigente.HTML" TargetMode="External"/><Relationship Id="rId4" Type="http://schemas.openxmlformats.org/officeDocument/2006/relationships/webSettings" Target="webSettings.xml"/><Relationship Id="rId9" Type="http://schemas.openxmlformats.org/officeDocument/2006/relationships/hyperlink" Target="https://www.hacienda.gob.es/Documentacion/Publico/DGCFEL/Endeudamiento/Nota%20Informativa%20Endeudamiento%202021_v2_Indice%20definitiva.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9687</Words>
  <Characters>53284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62846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Inmaculada Viñas Acevedo</cp:lastModifiedBy>
  <cp:revision>2</cp:revision>
  <cp:lastPrinted>2024-02-06T11:45:00Z</cp:lastPrinted>
  <dcterms:created xsi:type="dcterms:W3CDTF">2024-02-06T12:31:00Z</dcterms:created>
  <dcterms:modified xsi:type="dcterms:W3CDTF">2024-02-06T12:31:00Z</dcterms:modified>
</cp:coreProperties>
</file>