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9F75" w14:textId="427E78C4" w:rsidR="00CA0AA7" w:rsidRPr="0000450E" w:rsidRDefault="00CA0AA7" w:rsidP="0000450E">
      <w:pPr>
        <w:spacing w:line="276" w:lineRule="auto"/>
        <w:rPr>
          <w:rFonts w:ascii="Arial" w:eastAsia="Calibri" w:hAnsi="Arial" w:cs="Arial"/>
          <w:b/>
          <w:color w:val="365F91"/>
          <w:lang w:eastAsia="en-US"/>
        </w:rPr>
      </w:pPr>
    </w:p>
    <w:p w14:paraId="15B64B02" w14:textId="77777777" w:rsidR="00AE6729" w:rsidRPr="0000450E" w:rsidRDefault="00AE6729" w:rsidP="0000450E">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b/>
          <w:color w:val="365F91"/>
          <w:lang w:eastAsia="en-US"/>
        </w:rPr>
      </w:pPr>
    </w:p>
    <w:p w14:paraId="539D9289" w14:textId="4C565E14" w:rsidR="00EA0317" w:rsidRPr="0000450E" w:rsidRDefault="00EA0317" w:rsidP="0000450E">
      <w:pPr>
        <w:pBdr>
          <w:top w:val="single" w:sz="4" w:space="1" w:color="auto"/>
          <w:left w:val="single" w:sz="4" w:space="4" w:color="auto"/>
          <w:bottom w:val="single" w:sz="4" w:space="1" w:color="auto"/>
          <w:right w:val="single" w:sz="4" w:space="4" w:color="auto"/>
        </w:pBdr>
        <w:spacing w:after="200" w:line="276" w:lineRule="auto"/>
        <w:jc w:val="center"/>
        <w:rPr>
          <w:rFonts w:ascii="Arial" w:eastAsia="Calibri" w:hAnsi="Arial" w:cs="Arial"/>
          <w:b/>
          <w:color w:val="365F91"/>
          <w:lang w:eastAsia="en-US"/>
        </w:rPr>
      </w:pPr>
      <w:r w:rsidRPr="0000450E">
        <w:rPr>
          <w:rFonts w:ascii="Arial" w:eastAsia="Calibri" w:hAnsi="Arial" w:cs="Arial"/>
          <w:b/>
          <w:color w:val="365F91"/>
          <w:lang w:eastAsia="en-US"/>
        </w:rPr>
        <w:t>REUNIÓN S.A.M. DIPUTACIÓN DE PALENCIA- SECRETARIOS AYUNTAMIENTOS</w:t>
      </w:r>
    </w:p>
    <w:p w14:paraId="28640015" w14:textId="53FC1F93" w:rsidR="00EA0317" w:rsidRPr="0000450E" w:rsidRDefault="000D0405" w:rsidP="0000450E">
      <w:pPr>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365F91"/>
          <w:lang w:eastAsia="en-US"/>
        </w:rPr>
      </w:pPr>
      <w:r w:rsidRPr="0000450E">
        <w:rPr>
          <w:rFonts w:ascii="Arial" w:eastAsia="Calibri" w:hAnsi="Arial" w:cs="Arial"/>
          <w:b/>
          <w:color w:val="365F91"/>
          <w:lang w:eastAsia="en-US"/>
        </w:rPr>
        <w:t>8</w:t>
      </w:r>
      <w:r w:rsidR="00EA0317" w:rsidRPr="0000450E">
        <w:rPr>
          <w:rFonts w:ascii="Arial" w:eastAsia="Calibri" w:hAnsi="Arial" w:cs="Arial"/>
          <w:b/>
          <w:color w:val="365F91"/>
          <w:lang w:eastAsia="en-US"/>
        </w:rPr>
        <w:t xml:space="preserve"> de </w:t>
      </w:r>
      <w:r w:rsidR="00140E2D">
        <w:rPr>
          <w:rFonts w:ascii="Arial" w:eastAsia="Calibri" w:hAnsi="Arial" w:cs="Arial"/>
          <w:b/>
          <w:color w:val="365F91"/>
          <w:lang w:eastAsia="en-US"/>
        </w:rPr>
        <w:t>fe</w:t>
      </w:r>
      <w:r w:rsidR="00521874" w:rsidRPr="0000450E">
        <w:rPr>
          <w:rFonts w:ascii="Arial" w:eastAsia="Calibri" w:hAnsi="Arial" w:cs="Arial"/>
          <w:b/>
          <w:color w:val="365F91"/>
          <w:lang w:eastAsia="en-US"/>
        </w:rPr>
        <w:t xml:space="preserve">brero </w:t>
      </w:r>
      <w:r w:rsidR="00EA0317" w:rsidRPr="0000450E">
        <w:rPr>
          <w:rFonts w:ascii="Arial" w:eastAsia="Calibri" w:hAnsi="Arial" w:cs="Arial"/>
          <w:b/>
          <w:color w:val="365F91"/>
          <w:lang w:eastAsia="en-US"/>
        </w:rPr>
        <w:t>de 20</w:t>
      </w:r>
      <w:r w:rsidR="00035D53" w:rsidRPr="0000450E">
        <w:rPr>
          <w:rFonts w:ascii="Arial" w:eastAsia="Calibri" w:hAnsi="Arial" w:cs="Arial"/>
          <w:b/>
          <w:color w:val="365F91"/>
          <w:lang w:eastAsia="en-US"/>
        </w:rPr>
        <w:t>2</w:t>
      </w:r>
      <w:r w:rsidR="00521874" w:rsidRPr="0000450E">
        <w:rPr>
          <w:rFonts w:ascii="Arial" w:eastAsia="Calibri" w:hAnsi="Arial" w:cs="Arial"/>
          <w:b/>
          <w:color w:val="365F91"/>
          <w:lang w:eastAsia="en-US"/>
        </w:rPr>
        <w:t>4</w:t>
      </w:r>
    </w:p>
    <w:p w14:paraId="556728A7" w14:textId="4F6D056E" w:rsidR="00EA0317" w:rsidRPr="0000450E" w:rsidRDefault="00EA0317" w:rsidP="0000450E">
      <w:pPr>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365F91"/>
          <w:lang w:eastAsia="en-US"/>
        </w:rPr>
      </w:pPr>
      <w:r w:rsidRPr="0000450E">
        <w:rPr>
          <w:rFonts w:ascii="Arial" w:eastAsia="Calibri" w:hAnsi="Arial" w:cs="Arial"/>
          <w:b/>
          <w:color w:val="365F91"/>
          <w:lang w:eastAsia="en-US"/>
        </w:rPr>
        <w:t xml:space="preserve">Hora: </w:t>
      </w:r>
      <w:r w:rsidR="00521874" w:rsidRPr="0000450E">
        <w:rPr>
          <w:rFonts w:ascii="Arial" w:eastAsia="Calibri" w:hAnsi="Arial" w:cs="Arial"/>
          <w:b/>
          <w:color w:val="365F91"/>
          <w:lang w:eastAsia="en-US"/>
        </w:rPr>
        <w:t>9</w:t>
      </w:r>
      <w:r w:rsidR="0078413C" w:rsidRPr="0000450E">
        <w:rPr>
          <w:rFonts w:ascii="Arial" w:eastAsia="Calibri" w:hAnsi="Arial" w:cs="Arial"/>
          <w:b/>
          <w:color w:val="365F91"/>
          <w:lang w:eastAsia="en-US"/>
        </w:rPr>
        <w:t>:</w:t>
      </w:r>
      <w:r w:rsidR="00521874" w:rsidRPr="0000450E">
        <w:rPr>
          <w:rFonts w:ascii="Arial" w:eastAsia="Calibri" w:hAnsi="Arial" w:cs="Arial"/>
          <w:b/>
          <w:color w:val="365F91"/>
          <w:lang w:eastAsia="en-US"/>
        </w:rPr>
        <w:t>3</w:t>
      </w:r>
      <w:r w:rsidR="0078413C" w:rsidRPr="0000450E">
        <w:rPr>
          <w:rFonts w:ascii="Arial" w:eastAsia="Calibri" w:hAnsi="Arial" w:cs="Arial"/>
          <w:b/>
          <w:color w:val="365F91"/>
          <w:lang w:eastAsia="en-US"/>
        </w:rPr>
        <w:t>0</w:t>
      </w:r>
    </w:p>
    <w:p w14:paraId="3629379F" w14:textId="05C212F8" w:rsidR="00EA0317" w:rsidRPr="0000450E" w:rsidRDefault="00307F08" w:rsidP="0000450E">
      <w:pPr>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365F91"/>
          <w:lang w:eastAsia="en-US"/>
        </w:rPr>
      </w:pPr>
      <w:r w:rsidRPr="0000450E">
        <w:rPr>
          <w:rFonts w:ascii="Arial" w:eastAsia="Calibri" w:hAnsi="Arial" w:cs="Arial"/>
          <w:b/>
          <w:color w:val="365F91"/>
          <w:lang w:eastAsia="en-US"/>
        </w:rPr>
        <w:t xml:space="preserve">Salón de Actos del </w:t>
      </w:r>
      <w:r w:rsidR="00521874" w:rsidRPr="0000450E">
        <w:rPr>
          <w:rFonts w:ascii="Arial" w:eastAsia="Calibri" w:hAnsi="Arial" w:cs="Arial"/>
          <w:b/>
          <w:color w:val="365F91"/>
          <w:lang w:eastAsia="en-US"/>
        </w:rPr>
        <w:t xml:space="preserve">ST Sanidad de la </w:t>
      </w:r>
      <w:proofErr w:type="spellStart"/>
      <w:r w:rsidR="00521874" w:rsidRPr="0000450E">
        <w:rPr>
          <w:rFonts w:ascii="Arial" w:eastAsia="Calibri" w:hAnsi="Arial" w:cs="Arial"/>
          <w:b/>
          <w:color w:val="365F91"/>
          <w:lang w:eastAsia="en-US"/>
        </w:rPr>
        <w:t>JCyL</w:t>
      </w:r>
      <w:proofErr w:type="spellEnd"/>
    </w:p>
    <w:p w14:paraId="0066413A" w14:textId="3F264D62" w:rsidR="00307F08" w:rsidRPr="0000450E" w:rsidRDefault="00521874" w:rsidP="0000450E">
      <w:pPr>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365F91"/>
          <w:lang w:eastAsia="en-US"/>
        </w:rPr>
      </w:pPr>
      <w:r w:rsidRPr="0000450E">
        <w:rPr>
          <w:rFonts w:ascii="Arial" w:eastAsia="Calibri" w:hAnsi="Arial" w:cs="Arial"/>
          <w:b/>
          <w:color w:val="365F91"/>
          <w:lang w:eastAsia="en-US"/>
        </w:rPr>
        <w:t>Avenida Casado del Alisal</w:t>
      </w:r>
      <w:r w:rsidR="00307F08" w:rsidRPr="0000450E">
        <w:rPr>
          <w:rFonts w:ascii="Arial" w:eastAsia="Calibri" w:hAnsi="Arial" w:cs="Arial"/>
          <w:b/>
          <w:color w:val="365F91"/>
          <w:lang w:eastAsia="en-US"/>
        </w:rPr>
        <w:t>-Palenci</w:t>
      </w:r>
      <w:r w:rsidRPr="0000450E">
        <w:rPr>
          <w:rFonts w:ascii="Arial" w:eastAsia="Calibri" w:hAnsi="Arial" w:cs="Arial"/>
          <w:b/>
          <w:color w:val="365F91"/>
          <w:lang w:eastAsia="en-US"/>
        </w:rPr>
        <w:t>a</w:t>
      </w:r>
    </w:p>
    <w:p w14:paraId="3B738C08" w14:textId="5ACFEA2B" w:rsidR="00A45202" w:rsidRPr="0000450E" w:rsidRDefault="00A45202" w:rsidP="0000450E">
      <w:pPr>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365F91"/>
          <w:lang w:eastAsia="en-US"/>
        </w:rPr>
      </w:pPr>
    </w:p>
    <w:p w14:paraId="75575699" w14:textId="32A229C3" w:rsidR="00A45202" w:rsidRPr="0000450E" w:rsidRDefault="00A45202" w:rsidP="0000450E">
      <w:pPr>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365F91"/>
          <w:lang w:eastAsia="en-US"/>
        </w:rPr>
      </w:pPr>
    </w:p>
    <w:p w14:paraId="1F88ABE8" w14:textId="5937A9F0" w:rsidR="00D82133" w:rsidRDefault="00D82133" w:rsidP="0000450E">
      <w:pPr>
        <w:pStyle w:val="NormalWeb"/>
        <w:spacing w:line="276" w:lineRule="auto"/>
        <w:jc w:val="both"/>
        <w:rPr>
          <w:rFonts w:ascii="Arial" w:hAnsi="Arial" w:cs="Arial"/>
          <w:iCs/>
          <w:sz w:val="24"/>
          <w:szCs w:val="24"/>
        </w:rPr>
      </w:pPr>
    </w:p>
    <w:p w14:paraId="35695CA5" w14:textId="6836A1E1" w:rsidR="00480B4B" w:rsidRPr="00E82C15" w:rsidRDefault="00480B4B" w:rsidP="00E82C15">
      <w:pPr>
        <w:pStyle w:val="Citadestacada"/>
        <w:spacing w:line="276" w:lineRule="auto"/>
        <w:rPr>
          <w:rFonts w:ascii="Arial" w:hAnsi="Arial" w:cs="Arial"/>
          <w:b/>
          <w:bCs/>
        </w:rPr>
      </w:pPr>
      <w:r w:rsidRPr="00E82C15">
        <w:rPr>
          <w:rFonts w:ascii="Arial" w:hAnsi="Arial" w:cs="Arial"/>
          <w:b/>
          <w:bCs/>
        </w:rPr>
        <w:t>LEGISLATURA 2023-2027</w:t>
      </w:r>
    </w:p>
    <w:p w14:paraId="477F410A" w14:textId="08230A5A" w:rsidR="00D82133" w:rsidRPr="00E82C15" w:rsidRDefault="00D82133" w:rsidP="00E82C15">
      <w:pPr>
        <w:pStyle w:val="NormalWeb"/>
        <w:spacing w:line="276" w:lineRule="auto"/>
        <w:jc w:val="both"/>
        <w:rPr>
          <w:rFonts w:ascii="Arial" w:hAnsi="Arial" w:cs="Arial"/>
          <w:iCs/>
          <w:sz w:val="24"/>
          <w:szCs w:val="24"/>
        </w:rPr>
      </w:pPr>
      <w:r w:rsidRPr="00E82C15">
        <w:rPr>
          <w:rFonts w:ascii="Arial" w:hAnsi="Arial" w:cs="Arial"/>
          <w:iCs/>
          <w:sz w:val="24"/>
          <w:szCs w:val="24"/>
        </w:rPr>
        <w:t>Documentación VIII Jornada Escuela de Alcaldes:</w:t>
      </w:r>
    </w:p>
    <w:p w14:paraId="1F4D805F" w14:textId="5FFE48C2" w:rsidR="00480B4B" w:rsidRPr="00E82C15" w:rsidRDefault="00000000" w:rsidP="00E82C15">
      <w:pPr>
        <w:pStyle w:val="NormalWeb"/>
        <w:spacing w:line="276" w:lineRule="auto"/>
        <w:jc w:val="both"/>
        <w:rPr>
          <w:rFonts w:ascii="Arial" w:hAnsi="Arial" w:cs="Arial"/>
          <w:iCs/>
          <w:sz w:val="24"/>
          <w:szCs w:val="24"/>
        </w:rPr>
      </w:pPr>
      <w:hyperlink r:id="rId8" w:history="1">
        <w:r w:rsidR="00D82133" w:rsidRPr="00E82C15">
          <w:rPr>
            <w:rStyle w:val="Hipervnculo"/>
            <w:rFonts w:ascii="Arial" w:hAnsi="Arial" w:cs="Arial"/>
            <w:iCs/>
            <w:sz w:val="24"/>
            <w:szCs w:val="24"/>
          </w:rPr>
          <w:t>https://www.diputaciondepalencia.es/provincia/escuela-alcaldes/guia-servicios-diputacion</w:t>
        </w:r>
      </w:hyperlink>
    </w:p>
    <w:p w14:paraId="1DB9AC38" w14:textId="77777777" w:rsidR="00A45202" w:rsidRPr="00E82C15" w:rsidRDefault="00A45202" w:rsidP="00E82C15">
      <w:pPr>
        <w:pStyle w:val="Citadestacada"/>
        <w:spacing w:line="276" w:lineRule="auto"/>
        <w:rPr>
          <w:rFonts w:ascii="Arial" w:hAnsi="Arial" w:cs="Arial"/>
          <w:b/>
          <w:bCs/>
        </w:rPr>
      </w:pPr>
      <w:r w:rsidRPr="00E82C15">
        <w:rPr>
          <w:rFonts w:ascii="Arial" w:hAnsi="Arial" w:cs="Arial"/>
          <w:b/>
          <w:bCs/>
        </w:rPr>
        <w:t xml:space="preserve">PRESUPUESTOS GENERALES PARA EL AÑO 2024. </w:t>
      </w:r>
    </w:p>
    <w:p w14:paraId="585A979C" w14:textId="3412F682" w:rsidR="00A45202" w:rsidRPr="00E82C15" w:rsidRDefault="00A45202" w:rsidP="00E82C15">
      <w:pPr>
        <w:pStyle w:val="justificado"/>
        <w:spacing w:before="0" w:beforeAutospacing="0" w:after="225" w:afterAutospacing="0" w:line="276" w:lineRule="auto"/>
        <w:jc w:val="both"/>
        <w:rPr>
          <w:rFonts w:ascii="Arial" w:eastAsia="Calibri" w:hAnsi="Arial" w:cs="Arial"/>
          <w:lang w:eastAsia="en-US"/>
        </w:rPr>
      </w:pPr>
      <w:r w:rsidRPr="00E82C15">
        <w:rPr>
          <w:rFonts w:ascii="Arial" w:eastAsia="Calibri" w:hAnsi="Arial" w:cs="Arial"/>
          <w:lang w:eastAsia="en-US"/>
        </w:rPr>
        <w:t xml:space="preserve">En el día de hoy no se ha llevado a cabo la aprobación de los Presupuestos Generales del Estado para el año 2024 y tampoco conocemos de </w:t>
      </w:r>
      <w:proofErr w:type="spellStart"/>
      <w:r w:rsidRPr="00E82C15">
        <w:rPr>
          <w:rFonts w:ascii="Arial" w:eastAsia="Calibri" w:hAnsi="Arial" w:cs="Arial"/>
          <w:lang w:eastAsia="en-US"/>
        </w:rPr>
        <w:t>que</w:t>
      </w:r>
      <w:proofErr w:type="spellEnd"/>
      <w:r w:rsidRPr="00E82C15">
        <w:rPr>
          <w:rFonts w:ascii="Arial" w:eastAsia="Calibri" w:hAnsi="Arial" w:cs="Arial"/>
          <w:lang w:eastAsia="en-US"/>
        </w:rPr>
        <w:t xml:space="preserve"> manera se llevará a cabo la reactivación de las reglas fiscales </w:t>
      </w:r>
      <w:r w:rsidR="00883B4E" w:rsidRPr="00E82C15">
        <w:rPr>
          <w:rFonts w:ascii="Arial" w:eastAsia="Calibri" w:hAnsi="Arial" w:cs="Arial"/>
          <w:lang w:eastAsia="en-US"/>
        </w:rPr>
        <w:t>para el ejercicio</w:t>
      </w:r>
      <w:r w:rsidRPr="00E82C15">
        <w:rPr>
          <w:rFonts w:ascii="Arial" w:eastAsia="Calibri" w:hAnsi="Arial" w:cs="Arial"/>
          <w:lang w:eastAsia="en-US"/>
        </w:rPr>
        <w:t xml:space="preserve"> 2024.</w:t>
      </w:r>
    </w:p>
    <w:p w14:paraId="44BA0F25" w14:textId="0C903279" w:rsidR="00A45202" w:rsidRPr="00E82C15" w:rsidRDefault="00883B4E" w:rsidP="00E82C15">
      <w:pPr>
        <w:pStyle w:val="justificado"/>
        <w:spacing w:before="0" w:beforeAutospacing="0" w:after="225" w:afterAutospacing="0" w:line="276" w:lineRule="auto"/>
        <w:jc w:val="both"/>
        <w:rPr>
          <w:rFonts w:ascii="Arial" w:eastAsia="Calibri" w:hAnsi="Arial" w:cs="Arial"/>
          <w:lang w:eastAsia="en-US"/>
        </w:rPr>
      </w:pPr>
      <w:r w:rsidRPr="00E82C15">
        <w:rPr>
          <w:rFonts w:ascii="Arial" w:eastAsia="Calibri" w:hAnsi="Arial" w:cs="Arial"/>
          <w:lang w:eastAsia="en-US"/>
        </w:rPr>
        <w:t>D</w:t>
      </w:r>
      <w:r w:rsidR="00A45202" w:rsidRPr="00E82C15">
        <w:rPr>
          <w:rFonts w:ascii="Arial" w:eastAsia="Calibri" w:hAnsi="Arial" w:cs="Arial"/>
          <w:lang w:eastAsia="en-US"/>
        </w:rPr>
        <w:t>urante los años 2020, 2021,</w:t>
      </w:r>
      <w:r w:rsidR="000540D6" w:rsidRPr="00E82C15">
        <w:rPr>
          <w:rFonts w:ascii="Arial" w:eastAsia="Calibri" w:hAnsi="Arial" w:cs="Arial"/>
          <w:lang w:eastAsia="en-US"/>
        </w:rPr>
        <w:t xml:space="preserve"> </w:t>
      </w:r>
      <w:r w:rsidR="00A45202" w:rsidRPr="00E82C15">
        <w:rPr>
          <w:rFonts w:ascii="Arial" w:eastAsia="Calibri" w:hAnsi="Arial" w:cs="Arial"/>
          <w:lang w:eastAsia="en-US"/>
        </w:rPr>
        <w:t>2022 y 2023 las E</w:t>
      </w:r>
      <w:r w:rsidR="000540D6" w:rsidRPr="00E82C15">
        <w:rPr>
          <w:rFonts w:ascii="Arial" w:eastAsia="Calibri" w:hAnsi="Arial" w:cs="Arial"/>
          <w:lang w:eastAsia="en-US"/>
        </w:rPr>
        <w:t xml:space="preserve">ntidades </w:t>
      </w:r>
      <w:r w:rsidR="00A45202" w:rsidRPr="00E82C15">
        <w:rPr>
          <w:rFonts w:ascii="Arial" w:eastAsia="Calibri" w:hAnsi="Arial" w:cs="Arial"/>
          <w:lang w:eastAsia="en-US"/>
        </w:rPr>
        <w:t>L</w:t>
      </w:r>
      <w:r w:rsidR="000540D6" w:rsidRPr="00E82C15">
        <w:rPr>
          <w:rFonts w:ascii="Arial" w:eastAsia="Calibri" w:hAnsi="Arial" w:cs="Arial"/>
          <w:lang w:eastAsia="en-US"/>
        </w:rPr>
        <w:t>ocales</w:t>
      </w:r>
      <w:r w:rsidR="00A45202" w:rsidRPr="00E82C15">
        <w:rPr>
          <w:rFonts w:ascii="Arial" w:eastAsia="Calibri" w:hAnsi="Arial" w:cs="Arial"/>
          <w:lang w:eastAsia="en-US"/>
        </w:rPr>
        <w:t xml:space="preserve"> no han estado obligadas a cumplir con los objetivos de estabilidad, deuda pública y regla de gasto</w:t>
      </w:r>
      <w:r w:rsidRPr="00E82C15">
        <w:rPr>
          <w:rFonts w:ascii="Arial" w:eastAsia="Calibri" w:hAnsi="Arial" w:cs="Arial"/>
          <w:lang w:eastAsia="en-US"/>
        </w:rPr>
        <w:t>, sin</w:t>
      </w:r>
      <w:r w:rsidR="00A45202" w:rsidRPr="00E82C15">
        <w:rPr>
          <w:rFonts w:ascii="Arial" w:eastAsia="Calibri" w:hAnsi="Arial" w:cs="Arial"/>
          <w:lang w:eastAsia="en-US"/>
        </w:rPr>
        <w:t xml:space="preserve"> embargo</w:t>
      </w:r>
      <w:r w:rsidRPr="00E82C15">
        <w:rPr>
          <w:rFonts w:ascii="Arial" w:eastAsia="Calibri" w:hAnsi="Arial" w:cs="Arial"/>
          <w:lang w:eastAsia="en-US"/>
        </w:rPr>
        <w:t>,</w:t>
      </w:r>
      <w:r w:rsidR="00A45202" w:rsidRPr="00E82C15">
        <w:rPr>
          <w:rFonts w:ascii="Arial" w:eastAsia="Calibri" w:hAnsi="Arial" w:cs="Arial"/>
          <w:lang w:eastAsia="en-US"/>
        </w:rPr>
        <w:t xml:space="preserve"> esta situación de </w:t>
      </w:r>
      <w:r w:rsidRPr="00E82C15">
        <w:rPr>
          <w:rFonts w:ascii="Arial" w:eastAsia="Calibri" w:hAnsi="Arial" w:cs="Arial"/>
          <w:lang w:eastAsia="en-US"/>
        </w:rPr>
        <w:t xml:space="preserve">prórroga de la </w:t>
      </w:r>
      <w:r w:rsidR="00A45202" w:rsidRPr="00E82C15">
        <w:rPr>
          <w:rFonts w:ascii="Arial" w:eastAsia="Calibri" w:hAnsi="Arial" w:cs="Arial"/>
          <w:lang w:eastAsia="en-US"/>
        </w:rPr>
        <w:t xml:space="preserve">suspensión </w:t>
      </w:r>
      <w:r w:rsidRPr="00E82C15">
        <w:rPr>
          <w:rFonts w:ascii="Arial" w:eastAsia="Calibri" w:hAnsi="Arial" w:cs="Arial"/>
          <w:lang w:eastAsia="en-US"/>
        </w:rPr>
        <w:t xml:space="preserve">de las reglas fiscales </w:t>
      </w:r>
      <w:r w:rsidR="00A45202" w:rsidRPr="00E82C15">
        <w:rPr>
          <w:rFonts w:ascii="Arial" w:eastAsia="Calibri" w:hAnsi="Arial" w:cs="Arial"/>
          <w:lang w:eastAsia="en-US"/>
        </w:rPr>
        <w:t>no se va a producir para el próximo año, puesto que como ya ha anunciado la Comisión Europea, no se va a prorrogar para 2024.</w:t>
      </w:r>
    </w:p>
    <w:p w14:paraId="7A16156D" w14:textId="0537DBE0" w:rsidR="00A45202" w:rsidRPr="00E82C15" w:rsidRDefault="00A45202" w:rsidP="00E82C15">
      <w:pPr>
        <w:pStyle w:val="justificado"/>
        <w:spacing w:before="0" w:beforeAutospacing="0" w:after="225" w:afterAutospacing="0" w:line="276" w:lineRule="auto"/>
        <w:jc w:val="both"/>
        <w:rPr>
          <w:rFonts w:ascii="Arial" w:eastAsia="Calibri" w:hAnsi="Arial" w:cs="Arial"/>
          <w:lang w:eastAsia="en-US"/>
        </w:rPr>
      </w:pPr>
      <w:r w:rsidRPr="00E82C15">
        <w:rPr>
          <w:rFonts w:ascii="Arial" w:eastAsia="Calibri" w:hAnsi="Arial" w:cs="Arial"/>
          <w:lang w:eastAsia="en-US"/>
        </w:rPr>
        <w:t>En todo caso y, en cumplimiento de lo dispuesto en el artículo 169 del TRLRHL, antes del 31 de diciembre del año anterior al ejercicio en que deba aplicarse, se debe realizar por las entidades locales, la aprobación definitiva del presupuesto municipal</w:t>
      </w:r>
      <w:r w:rsidR="00883B4E" w:rsidRPr="00E82C15">
        <w:rPr>
          <w:rFonts w:ascii="Arial" w:eastAsia="Calibri" w:hAnsi="Arial" w:cs="Arial"/>
          <w:lang w:eastAsia="en-US"/>
        </w:rPr>
        <w:t xml:space="preserve"> y, para ello,</w:t>
      </w:r>
      <w:r w:rsidRPr="00E82C15">
        <w:rPr>
          <w:rFonts w:ascii="Arial" w:eastAsia="Calibri" w:hAnsi="Arial" w:cs="Arial"/>
          <w:lang w:eastAsia="en-US"/>
        </w:rPr>
        <w:t xml:space="preserve"> podemos tener </w:t>
      </w:r>
      <w:proofErr w:type="spellStart"/>
      <w:r w:rsidRPr="00E82C15">
        <w:rPr>
          <w:rFonts w:ascii="Arial" w:eastAsia="Calibri" w:hAnsi="Arial" w:cs="Arial"/>
          <w:lang w:eastAsia="en-US"/>
        </w:rPr>
        <w:t>encuenta</w:t>
      </w:r>
      <w:proofErr w:type="spellEnd"/>
      <w:r w:rsidRPr="00E82C15">
        <w:rPr>
          <w:rFonts w:ascii="Arial" w:eastAsia="Calibri" w:hAnsi="Arial" w:cs="Arial"/>
          <w:lang w:eastAsia="en-US"/>
        </w:rPr>
        <w:t xml:space="preserve"> algunos aspectos que repasaremos </w:t>
      </w:r>
      <w:r w:rsidRPr="00E82C15">
        <w:rPr>
          <w:rFonts w:ascii="Arial" w:eastAsia="Calibri" w:hAnsi="Arial" w:cs="Arial"/>
          <w:lang w:eastAsia="en-US"/>
        </w:rPr>
        <w:lastRenderedPageBreak/>
        <w:t xml:space="preserve">en esta jornada, además del régimen presupuestario </w:t>
      </w:r>
      <w:r w:rsidR="00883B4E" w:rsidRPr="00E82C15">
        <w:rPr>
          <w:rFonts w:ascii="Arial" w:eastAsia="Calibri" w:hAnsi="Arial" w:cs="Arial"/>
          <w:lang w:eastAsia="en-US"/>
        </w:rPr>
        <w:t>previsto en el</w:t>
      </w:r>
      <w:r w:rsidRPr="00E82C15">
        <w:rPr>
          <w:rFonts w:ascii="Arial" w:eastAsia="Calibri" w:hAnsi="Arial" w:cs="Arial"/>
          <w:lang w:eastAsia="en-US"/>
        </w:rPr>
        <w:t xml:space="preserve"> TRLRHL, que garantizará en todo caso el cumplimiento del principio de equilibrio presupuestario y estabilidad presupuestaria.</w:t>
      </w:r>
    </w:p>
    <w:p w14:paraId="3C40FE5E" w14:textId="30B8D75D" w:rsidR="00A45202" w:rsidRPr="00E82C15" w:rsidRDefault="00480B4B" w:rsidP="00E82C15">
      <w:pPr>
        <w:pStyle w:val="Citadestacada"/>
        <w:spacing w:line="276" w:lineRule="auto"/>
        <w:rPr>
          <w:rFonts w:ascii="Arial" w:hAnsi="Arial" w:cs="Arial"/>
          <w:b/>
          <w:bCs/>
        </w:rPr>
      </w:pPr>
      <w:r w:rsidRPr="00E82C15">
        <w:rPr>
          <w:rFonts w:ascii="Arial" w:hAnsi="Arial" w:cs="Arial"/>
          <w:b/>
          <w:bCs/>
        </w:rPr>
        <w:t>GASTOS DEL PERSONAL AL SERVICIO DEL SECTOR PÚBLICO.</w:t>
      </w:r>
    </w:p>
    <w:p w14:paraId="246B3B16" w14:textId="1714D612" w:rsidR="00A45202" w:rsidRPr="00E82C15" w:rsidRDefault="00A45202" w:rsidP="00E82C15">
      <w:pPr>
        <w:pStyle w:val="justificado"/>
        <w:spacing w:after="225" w:line="276" w:lineRule="auto"/>
        <w:jc w:val="both"/>
        <w:rPr>
          <w:rFonts w:ascii="Arial" w:eastAsia="Calibri" w:hAnsi="Arial" w:cs="Arial"/>
          <w:lang w:eastAsia="en-US"/>
        </w:rPr>
      </w:pPr>
      <w:r w:rsidRPr="00E82C15">
        <w:rPr>
          <w:rFonts w:ascii="Arial" w:eastAsia="Calibri" w:hAnsi="Arial" w:cs="Arial"/>
          <w:lang w:eastAsia="en-US"/>
        </w:rPr>
        <w:t>El artículo 21 del texto refundido de la Ley del Estatuto Básico del Empleado Público, aprobado por Real Decreto</w:t>
      </w:r>
      <w:r w:rsidR="00883B4E" w:rsidRPr="00E82C15">
        <w:rPr>
          <w:rFonts w:ascii="Arial" w:eastAsia="Calibri" w:hAnsi="Arial" w:cs="Arial"/>
          <w:lang w:eastAsia="en-US"/>
        </w:rPr>
        <w:t xml:space="preserve"> </w:t>
      </w:r>
      <w:r w:rsidRPr="00E82C15">
        <w:rPr>
          <w:rFonts w:ascii="Arial" w:eastAsia="Calibri" w:hAnsi="Arial" w:cs="Arial"/>
          <w:lang w:eastAsia="en-US"/>
        </w:rPr>
        <w:t>Legislativo 5/2015, de 30 de octubre</w:t>
      </w:r>
      <w:r w:rsidR="00883B4E" w:rsidRPr="00E82C15">
        <w:rPr>
          <w:rFonts w:ascii="Arial" w:eastAsia="Calibri" w:hAnsi="Arial" w:cs="Arial"/>
          <w:lang w:eastAsia="en-US"/>
        </w:rPr>
        <w:t>,</w:t>
      </w:r>
      <w:r w:rsidRPr="00E82C15">
        <w:rPr>
          <w:rFonts w:ascii="Arial" w:eastAsia="Calibri" w:hAnsi="Arial" w:cs="Arial"/>
          <w:lang w:eastAsia="en-US"/>
        </w:rPr>
        <w:t xml:space="preserve"> establece que las cuantías e incrementos de</w:t>
      </w:r>
      <w:r w:rsidR="00883B4E" w:rsidRPr="00E82C15">
        <w:rPr>
          <w:rFonts w:ascii="Arial" w:eastAsia="Calibri" w:hAnsi="Arial" w:cs="Arial"/>
          <w:lang w:eastAsia="en-US"/>
        </w:rPr>
        <w:t xml:space="preserve"> </w:t>
      </w:r>
      <w:r w:rsidRPr="00E82C15">
        <w:rPr>
          <w:rFonts w:ascii="Arial" w:eastAsia="Calibri" w:hAnsi="Arial" w:cs="Arial"/>
          <w:lang w:eastAsia="en-US"/>
        </w:rPr>
        <w:t>las retribuciones de los funcionarios, así como el incremento de la masa salarial del personal laboral del sector público para cada ejercicio deben ser fijadas a través de la LPGE.</w:t>
      </w:r>
    </w:p>
    <w:p w14:paraId="40C673CA" w14:textId="231247FD" w:rsidR="00A45202" w:rsidRPr="00E82C15" w:rsidRDefault="00A45202" w:rsidP="00E82C15">
      <w:pPr>
        <w:pStyle w:val="Default"/>
        <w:spacing w:line="276" w:lineRule="auto"/>
        <w:jc w:val="both"/>
        <w:rPr>
          <w:rFonts w:ascii="Arial" w:hAnsi="Arial" w:cs="Arial"/>
          <w:lang w:val="es-ES"/>
        </w:rPr>
      </w:pPr>
      <w:r w:rsidRPr="00E82C15">
        <w:rPr>
          <w:rFonts w:ascii="Arial" w:hAnsi="Arial" w:cs="Arial"/>
          <w:lang w:val="es-ES"/>
        </w:rPr>
        <w:t>Para el ejercicio 2023, la Ley 31/2022, de 23 de diciembre, de Presupuestos Generales del Estado para el año 2023</w:t>
      </w:r>
      <w:r w:rsidR="00883B4E" w:rsidRPr="00E82C15">
        <w:rPr>
          <w:rFonts w:ascii="Arial" w:hAnsi="Arial" w:cs="Arial"/>
          <w:lang w:val="es-ES"/>
        </w:rPr>
        <w:t>,</w:t>
      </w:r>
      <w:r w:rsidRPr="00E82C15">
        <w:rPr>
          <w:rFonts w:ascii="Arial" w:hAnsi="Arial" w:cs="Arial"/>
          <w:lang w:val="es-ES"/>
        </w:rPr>
        <w:t xml:space="preserve"> contempló en su artículo 19. </w:t>
      </w:r>
      <w:r w:rsidR="00883B4E" w:rsidRPr="00E82C15">
        <w:rPr>
          <w:rFonts w:ascii="Arial" w:hAnsi="Arial" w:cs="Arial"/>
          <w:lang w:val="es-ES"/>
        </w:rPr>
        <w:t>d</w:t>
      </w:r>
      <w:r w:rsidRPr="00E82C15">
        <w:rPr>
          <w:rFonts w:ascii="Arial" w:hAnsi="Arial" w:cs="Arial"/>
          <w:lang w:val="es-ES"/>
        </w:rPr>
        <w:t>os un incremento del 2,5% respecto a las retribuciones vigentes a 31 de diciembre de 2022, el cual podría verse incrementando hasta en un punto adicional en función de dos cláusulas de</w:t>
      </w:r>
      <w:r w:rsidR="00C95B4E" w:rsidRPr="00E82C15">
        <w:rPr>
          <w:rFonts w:ascii="Arial" w:hAnsi="Arial" w:cs="Arial"/>
          <w:lang w:val="es-ES"/>
        </w:rPr>
        <w:t xml:space="preserve"> </w:t>
      </w:r>
      <w:r w:rsidRPr="00E82C15">
        <w:rPr>
          <w:rFonts w:ascii="Arial" w:hAnsi="Arial" w:cs="Arial"/>
          <w:lang w:val="es-ES"/>
        </w:rPr>
        <w:t>revisión vinculadas al IPC y al PIB nominal.</w:t>
      </w:r>
    </w:p>
    <w:p w14:paraId="1854DA16" w14:textId="77777777" w:rsidR="00A45202" w:rsidRPr="00E82C15" w:rsidRDefault="00A45202" w:rsidP="00E82C15">
      <w:pPr>
        <w:pStyle w:val="Default"/>
        <w:spacing w:line="276" w:lineRule="auto"/>
        <w:jc w:val="both"/>
        <w:rPr>
          <w:rFonts w:ascii="Arial" w:hAnsi="Arial" w:cs="Arial"/>
          <w:lang w:val="es-ES"/>
        </w:rPr>
      </w:pPr>
    </w:p>
    <w:p w14:paraId="0A3F3F55" w14:textId="0F6085FC" w:rsidR="00A45202" w:rsidRPr="00E82C15" w:rsidRDefault="00A45202" w:rsidP="00E82C15">
      <w:pPr>
        <w:pStyle w:val="Default"/>
        <w:spacing w:line="276" w:lineRule="auto"/>
        <w:jc w:val="both"/>
        <w:rPr>
          <w:rFonts w:ascii="Arial" w:hAnsi="Arial" w:cs="Arial"/>
          <w:lang w:val="es-ES"/>
        </w:rPr>
      </w:pPr>
      <w:r w:rsidRPr="00E82C15">
        <w:rPr>
          <w:rFonts w:ascii="Arial" w:hAnsi="Arial" w:cs="Arial"/>
          <w:lang w:val="es-ES"/>
        </w:rPr>
        <w:t xml:space="preserve">Estos porcentajes fueron suscritos en octubre de 2022 por la Mesa General de Negociación de la Función Pública través del «Acuerdo Marco para una Administración del siglo </w:t>
      </w:r>
      <w:proofErr w:type="gramStart"/>
      <w:r w:rsidRPr="00E82C15">
        <w:rPr>
          <w:rFonts w:ascii="Arial" w:hAnsi="Arial" w:cs="Arial"/>
          <w:lang w:val="es-ES"/>
        </w:rPr>
        <w:t>XXI »</w:t>
      </w:r>
      <w:proofErr w:type="gramEnd"/>
      <w:r w:rsidRPr="00E82C15">
        <w:rPr>
          <w:rFonts w:ascii="Arial" w:hAnsi="Arial" w:cs="Arial"/>
          <w:lang w:val="es-ES"/>
        </w:rPr>
        <w:t xml:space="preserve"> , publicado por la Resolución de 14 de noviembre de 2022, de la Secretaría del Estado de Función Pública. A través del citado Acuerdo, se aprobó la propuesta del Ministerio de Hacienda y Función Pública para mejorar las retribuciones de los empleados públicos,</w:t>
      </w:r>
      <w:r w:rsidR="00883B4E" w:rsidRPr="00E82C15">
        <w:rPr>
          <w:rFonts w:ascii="Arial" w:hAnsi="Arial" w:cs="Arial"/>
          <w:lang w:val="es-ES"/>
        </w:rPr>
        <w:t xml:space="preserve"> </w:t>
      </w:r>
      <w:r w:rsidRPr="00E82C15">
        <w:rPr>
          <w:rFonts w:ascii="Arial" w:hAnsi="Arial" w:cs="Arial"/>
          <w:lang w:val="es-ES"/>
        </w:rPr>
        <w:t>con el apoyo de los sindicatos Comisiones Obreras (CCOO) y Unión General de Trabajadoras y Trabajadores (UGT).</w:t>
      </w:r>
    </w:p>
    <w:p w14:paraId="376D6257" w14:textId="77777777" w:rsidR="00A45202" w:rsidRPr="00E82C15" w:rsidRDefault="00A45202" w:rsidP="00E82C15">
      <w:pPr>
        <w:pStyle w:val="Default"/>
        <w:spacing w:line="276" w:lineRule="auto"/>
        <w:jc w:val="both"/>
        <w:rPr>
          <w:rFonts w:ascii="Arial" w:hAnsi="Arial" w:cs="Arial"/>
          <w:lang w:val="es-ES"/>
        </w:rPr>
      </w:pPr>
    </w:p>
    <w:p w14:paraId="7A6281DD" w14:textId="6A4669DE" w:rsidR="00A45202" w:rsidRPr="00E82C15" w:rsidRDefault="00A45202" w:rsidP="00E82C15">
      <w:pPr>
        <w:pStyle w:val="Default"/>
        <w:spacing w:line="276" w:lineRule="auto"/>
        <w:jc w:val="both"/>
        <w:rPr>
          <w:rFonts w:ascii="Arial" w:hAnsi="Arial" w:cs="Arial"/>
          <w:lang w:val="es-ES"/>
        </w:rPr>
      </w:pPr>
      <w:r w:rsidRPr="00E82C15">
        <w:rPr>
          <w:rFonts w:ascii="Arial" w:hAnsi="Arial" w:cs="Arial"/>
          <w:lang w:val="es-ES"/>
        </w:rPr>
        <w:t>E</w:t>
      </w:r>
      <w:r w:rsidR="00C95B4E" w:rsidRPr="00E82C15">
        <w:rPr>
          <w:rFonts w:ascii="Arial" w:hAnsi="Arial" w:cs="Arial"/>
          <w:lang w:val="es-ES"/>
        </w:rPr>
        <w:t>ste</w:t>
      </w:r>
      <w:r w:rsidRPr="00E82C15">
        <w:rPr>
          <w:rFonts w:ascii="Arial" w:hAnsi="Arial" w:cs="Arial"/>
          <w:lang w:val="es-ES"/>
        </w:rPr>
        <w:t xml:space="preserve"> acuerdo contempla para el año 2024 un incremento fijo del 2%, sobre la base de las retribuciones ya incrementadas en el ejercicio anterior. Además, establece que si la suma de la variación del IPCA (Índice de</w:t>
      </w:r>
      <w:r w:rsidRPr="00E82C15">
        <w:rPr>
          <w:rFonts w:ascii="Arial" w:hAnsi="Arial" w:cs="Arial"/>
        </w:rPr>
        <w:t xml:space="preserve"> </w:t>
      </w:r>
      <w:r w:rsidRPr="00E82C15">
        <w:rPr>
          <w:rFonts w:ascii="Arial" w:hAnsi="Arial" w:cs="Arial"/>
          <w:lang w:val="es-ES"/>
        </w:rPr>
        <w:t xml:space="preserve">Precios de Consumo Armonizado) de los años 2022, 2023 y 2024 supera el incremento retributivo fijo acumulado de 2022, 2023 y 2024, se aplicará un incremento retributivo adicional y consolidable del 0,5%, </w:t>
      </w:r>
      <w:r w:rsidR="00883B4E" w:rsidRPr="00E82C15">
        <w:rPr>
          <w:rFonts w:ascii="Arial" w:hAnsi="Arial" w:cs="Arial"/>
          <w:lang w:val="es-ES"/>
        </w:rPr>
        <w:t>que</w:t>
      </w:r>
      <w:r w:rsidRPr="00E82C15">
        <w:rPr>
          <w:rFonts w:ascii="Arial" w:hAnsi="Arial" w:cs="Arial"/>
          <w:lang w:val="es-ES"/>
        </w:rPr>
        <w:t xml:space="preserve"> tendría efectos desde el 1 de enero de 2024.</w:t>
      </w:r>
    </w:p>
    <w:p w14:paraId="301CE875" w14:textId="77777777" w:rsidR="00A45202" w:rsidRPr="00E82C15" w:rsidRDefault="00A45202" w:rsidP="00E82C15">
      <w:pPr>
        <w:pStyle w:val="Default"/>
        <w:spacing w:line="276" w:lineRule="auto"/>
        <w:jc w:val="both"/>
        <w:rPr>
          <w:rFonts w:ascii="Arial" w:hAnsi="Arial" w:cs="Arial"/>
          <w:lang w:val="es-ES"/>
        </w:rPr>
      </w:pPr>
    </w:p>
    <w:p w14:paraId="37CDA36E" w14:textId="680671D4" w:rsidR="00A45202" w:rsidRPr="00E82C15" w:rsidRDefault="00883B4E" w:rsidP="00E82C15">
      <w:pPr>
        <w:pStyle w:val="Default"/>
        <w:spacing w:line="276" w:lineRule="auto"/>
        <w:jc w:val="both"/>
        <w:rPr>
          <w:rFonts w:ascii="Arial" w:hAnsi="Arial" w:cs="Arial"/>
        </w:rPr>
      </w:pPr>
      <w:r w:rsidRPr="00E82C15">
        <w:rPr>
          <w:rFonts w:ascii="Arial" w:hAnsi="Arial" w:cs="Arial"/>
          <w:lang w:val="es-ES"/>
        </w:rPr>
        <w:t>No obstante, l</w:t>
      </w:r>
      <w:r w:rsidR="00A45202" w:rsidRPr="00E82C15">
        <w:rPr>
          <w:rFonts w:ascii="Arial" w:hAnsi="Arial" w:cs="Arial"/>
          <w:lang w:val="es-ES"/>
        </w:rPr>
        <w:t>a situación actual de prórroga presupuestaria implica que las retribuciones de los empleados públicos quedan congeladas en las cuantías vigentes para 2023</w:t>
      </w:r>
      <w:r w:rsidRPr="00E82C15">
        <w:rPr>
          <w:rFonts w:ascii="Arial" w:hAnsi="Arial" w:cs="Arial"/>
          <w:lang w:val="es-ES"/>
        </w:rPr>
        <w:t xml:space="preserve"> debiendo </w:t>
      </w:r>
      <w:r w:rsidR="00A45202" w:rsidRPr="00E82C15">
        <w:rPr>
          <w:rFonts w:ascii="Arial" w:hAnsi="Arial" w:cs="Arial"/>
          <w:lang w:val="es-ES"/>
        </w:rPr>
        <w:t xml:space="preserve">esperar, por tanto, </w:t>
      </w:r>
      <w:r w:rsidRPr="00E82C15">
        <w:rPr>
          <w:rFonts w:ascii="Arial" w:hAnsi="Arial" w:cs="Arial"/>
          <w:lang w:val="es-ES"/>
        </w:rPr>
        <w:t>hast</w:t>
      </w:r>
      <w:r w:rsidR="00A45202" w:rsidRPr="00E82C15">
        <w:rPr>
          <w:rFonts w:ascii="Arial" w:hAnsi="Arial" w:cs="Arial"/>
          <w:lang w:val="es-ES"/>
        </w:rPr>
        <w:t>a la aprobación de los PGE de 2024 para que se produzca el incremento del 2% previsto en el «Acuerdo Marco para una Administración del siglo XXI» o a la aprobación</w:t>
      </w:r>
      <w:r w:rsidR="00A45202" w:rsidRPr="00E82C15">
        <w:rPr>
          <w:rFonts w:ascii="Arial" w:hAnsi="Arial" w:cs="Arial"/>
        </w:rPr>
        <w:t xml:space="preserve"> mediante un Real Decreto-Ley de los incrementos </w:t>
      </w:r>
      <w:proofErr w:type="gramStart"/>
      <w:r w:rsidR="00A45202" w:rsidRPr="00E82C15">
        <w:rPr>
          <w:rFonts w:ascii="Arial" w:hAnsi="Arial" w:cs="Arial"/>
        </w:rPr>
        <w:t>retributivos ,como</w:t>
      </w:r>
      <w:proofErr w:type="gramEnd"/>
      <w:r w:rsidR="00A45202" w:rsidRPr="00E82C15">
        <w:rPr>
          <w:rFonts w:ascii="Arial" w:hAnsi="Arial" w:cs="Arial"/>
        </w:rPr>
        <w:t xml:space="preserve"> ha sucedido en ocasiones anteriores</w:t>
      </w:r>
      <w:r w:rsidR="00C95B4E" w:rsidRPr="00E82C15">
        <w:rPr>
          <w:rFonts w:ascii="Arial" w:hAnsi="Arial" w:cs="Arial"/>
        </w:rPr>
        <w:t>.</w:t>
      </w:r>
    </w:p>
    <w:p w14:paraId="67038B39" w14:textId="77777777" w:rsidR="00A45202" w:rsidRPr="00E82C15" w:rsidRDefault="00A45202" w:rsidP="00E82C15">
      <w:pPr>
        <w:pStyle w:val="Default"/>
        <w:spacing w:line="276" w:lineRule="auto"/>
        <w:jc w:val="both"/>
        <w:rPr>
          <w:rFonts w:ascii="Arial" w:hAnsi="Arial" w:cs="Arial"/>
        </w:rPr>
      </w:pPr>
    </w:p>
    <w:p w14:paraId="58BDC320" w14:textId="0B4485D2" w:rsidR="00A45202" w:rsidRPr="00E82C15" w:rsidRDefault="00480B4B" w:rsidP="00E82C15">
      <w:pPr>
        <w:pStyle w:val="Citadestacada"/>
        <w:spacing w:line="276" w:lineRule="auto"/>
        <w:rPr>
          <w:rFonts w:ascii="Arial" w:hAnsi="Arial" w:cs="Arial"/>
          <w:b/>
          <w:bCs/>
        </w:rPr>
      </w:pPr>
      <w:r w:rsidRPr="00E82C15">
        <w:rPr>
          <w:rFonts w:ascii="Arial" w:hAnsi="Arial" w:cs="Arial"/>
          <w:b/>
          <w:bCs/>
        </w:rPr>
        <w:t>COTIZACIONES SEGURIDAD SOCIAL</w:t>
      </w:r>
    </w:p>
    <w:p w14:paraId="54CF1250" w14:textId="700575E8" w:rsidR="00A45202" w:rsidRPr="00E82C15" w:rsidRDefault="00A45202" w:rsidP="00E82C15">
      <w:pPr>
        <w:spacing w:line="276" w:lineRule="auto"/>
        <w:jc w:val="center"/>
        <w:rPr>
          <w:rFonts w:ascii="Arial" w:hAnsi="Arial" w:cs="Arial"/>
          <w:color w:val="0070C0"/>
        </w:rPr>
      </w:pPr>
      <w:r w:rsidRPr="00E82C15">
        <w:rPr>
          <w:rFonts w:ascii="Arial" w:hAnsi="Arial" w:cs="Arial"/>
          <w:color w:val="0070C0"/>
        </w:rPr>
        <w:t>Orden PJC/51/2024, de 29 de enero</w:t>
      </w:r>
      <w:r w:rsidR="006D67C0" w:rsidRPr="00E82C15">
        <w:rPr>
          <w:rFonts w:ascii="Arial" w:hAnsi="Arial" w:cs="Arial"/>
          <w:color w:val="0070C0"/>
        </w:rPr>
        <w:t xml:space="preserve"> </w:t>
      </w:r>
      <w:r w:rsidRPr="00E82C15">
        <w:rPr>
          <w:rFonts w:ascii="Arial" w:hAnsi="Arial" w:cs="Arial"/>
          <w:color w:val="0070C0"/>
        </w:rPr>
        <w:t>por la que se desarrollan las normas legales de cotización a la Seguridad Social, desempleo, protección por cese de actividad, Fondo de Garantía Salarial y formación profesional para el ejercicio 2024</w:t>
      </w:r>
    </w:p>
    <w:p w14:paraId="1C894749" w14:textId="77777777" w:rsidR="006D67C0" w:rsidRPr="00E82C15" w:rsidRDefault="006D67C0" w:rsidP="00E82C15">
      <w:pPr>
        <w:spacing w:line="276" w:lineRule="auto"/>
        <w:jc w:val="center"/>
        <w:rPr>
          <w:rFonts w:ascii="Arial" w:hAnsi="Arial" w:cs="Arial"/>
          <w:color w:val="0070C0"/>
        </w:rPr>
      </w:pPr>
    </w:p>
    <w:p w14:paraId="26FE5DC2" w14:textId="031C0499" w:rsidR="00A45202" w:rsidRPr="00E82C15" w:rsidRDefault="00000000" w:rsidP="00E82C15">
      <w:pPr>
        <w:autoSpaceDE w:val="0"/>
        <w:autoSpaceDN w:val="0"/>
        <w:adjustRightInd w:val="0"/>
        <w:spacing w:line="276" w:lineRule="auto"/>
        <w:jc w:val="center"/>
        <w:rPr>
          <w:rFonts w:ascii="Arial" w:hAnsi="Arial" w:cs="Arial"/>
          <w:color w:val="222222"/>
        </w:rPr>
      </w:pPr>
      <w:hyperlink r:id="rId9" w:history="1">
        <w:r w:rsidR="006D67C0" w:rsidRPr="00E82C15">
          <w:rPr>
            <w:rStyle w:val="Hipervnculo"/>
            <w:rFonts w:ascii="Arial" w:hAnsi="Arial" w:cs="Arial"/>
          </w:rPr>
          <w:t>https://www.boe.es/boe/dias/2024/01/30/pdfs/BOE-A-2024-1691.pdf</w:t>
        </w:r>
      </w:hyperlink>
    </w:p>
    <w:p w14:paraId="580D114B" w14:textId="77777777" w:rsidR="006D67C0" w:rsidRPr="00E82C15" w:rsidRDefault="006D67C0" w:rsidP="00E82C15">
      <w:pPr>
        <w:autoSpaceDE w:val="0"/>
        <w:autoSpaceDN w:val="0"/>
        <w:adjustRightInd w:val="0"/>
        <w:spacing w:line="276" w:lineRule="auto"/>
        <w:jc w:val="both"/>
        <w:rPr>
          <w:rFonts w:ascii="Arial" w:hAnsi="Arial" w:cs="Arial"/>
          <w:color w:val="222222"/>
        </w:rPr>
      </w:pPr>
    </w:p>
    <w:p w14:paraId="33C29B82" w14:textId="5A49CA20" w:rsidR="00EA572F" w:rsidRPr="00E82C15" w:rsidRDefault="00EA572F" w:rsidP="00E82C15">
      <w:pPr>
        <w:autoSpaceDE w:val="0"/>
        <w:autoSpaceDN w:val="0"/>
        <w:adjustRightInd w:val="0"/>
        <w:spacing w:line="276" w:lineRule="auto"/>
        <w:jc w:val="both"/>
        <w:rPr>
          <w:rFonts w:ascii="Arial" w:hAnsi="Arial" w:cs="Arial"/>
          <w:color w:val="222222"/>
        </w:rPr>
      </w:pPr>
      <w:r w:rsidRPr="00E82C15">
        <w:rPr>
          <w:rFonts w:ascii="Arial" w:hAnsi="Arial" w:cs="Arial"/>
          <w:color w:val="222222"/>
        </w:rPr>
        <w:t>Ante la situación de prórroga presupuestaria</w:t>
      </w:r>
      <w:r w:rsidR="00883B4E" w:rsidRPr="00E82C15">
        <w:rPr>
          <w:rFonts w:ascii="Arial" w:hAnsi="Arial" w:cs="Arial"/>
          <w:color w:val="222222"/>
        </w:rPr>
        <w:t>,</w:t>
      </w:r>
      <w:r w:rsidRPr="00E82C15">
        <w:rPr>
          <w:rFonts w:ascii="Arial" w:hAnsi="Arial" w:cs="Arial"/>
          <w:color w:val="222222"/>
        </w:rPr>
        <w:t xml:space="preserve"> desde el 1 de enero de 2024, resulta de aplicación el artículo 122 de la Ley 31/2022, de 23 de diciembre, de Presupuestos Generales del Estado para el año 2023, que estableció las bases y tipos de cotización a la Seguridad Social, desempleo, protección por cese de </w:t>
      </w:r>
      <w:proofErr w:type="spellStart"/>
      <w:proofErr w:type="gramStart"/>
      <w:r w:rsidRPr="00E82C15">
        <w:rPr>
          <w:rFonts w:ascii="Arial" w:hAnsi="Arial" w:cs="Arial"/>
          <w:color w:val="222222"/>
        </w:rPr>
        <w:t>actividad,Fondo</w:t>
      </w:r>
      <w:proofErr w:type="spellEnd"/>
      <w:proofErr w:type="gramEnd"/>
      <w:r w:rsidRPr="00E82C15">
        <w:rPr>
          <w:rFonts w:ascii="Arial" w:hAnsi="Arial" w:cs="Arial"/>
          <w:color w:val="222222"/>
        </w:rPr>
        <w:t xml:space="preserve"> de Garantía Salarial y formación profesional para el ejercicio 2023, al ejercicio 2024.</w:t>
      </w:r>
    </w:p>
    <w:p w14:paraId="4BD4A6C3" w14:textId="77777777" w:rsidR="00EA572F" w:rsidRPr="00E82C15" w:rsidRDefault="00EA572F" w:rsidP="00E82C15">
      <w:pPr>
        <w:autoSpaceDE w:val="0"/>
        <w:autoSpaceDN w:val="0"/>
        <w:adjustRightInd w:val="0"/>
        <w:spacing w:line="276" w:lineRule="auto"/>
        <w:jc w:val="both"/>
        <w:rPr>
          <w:rFonts w:ascii="Arial" w:hAnsi="Arial" w:cs="Arial"/>
          <w:color w:val="222222"/>
        </w:rPr>
      </w:pPr>
    </w:p>
    <w:p w14:paraId="380E6D31" w14:textId="5ABCFA1A" w:rsidR="00EA572F" w:rsidRPr="00E82C15" w:rsidRDefault="00EA572F" w:rsidP="00E82C15">
      <w:pPr>
        <w:autoSpaceDE w:val="0"/>
        <w:autoSpaceDN w:val="0"/>
        <w:adjustRightInd w:val="0"/>
        <w:spacing w:line="276" w:lineRule="auto"/>
        <w:jc w:val="both"/>
        <w:rPr>
          <w:rFonts w:ascii="Arial" w:hAnsi="Arial" w:cs="Arial"/>
          <w:color w:val="222222"/>
        </w:rPr>
      </w:pPr>
      <w:r w:rsidRPr="00E82C15">
        <w:rPr>
          <w:rFonts w:ascii="Arial" w:hAnsi="Arial" w:cs="Arial"/>
          <w:color w:val="222222"/>
        </w:rPr>
        <w:t>En este contexto</w:t>
      </w:r>
      <w:r w:rsidR="00E82C15" w:rsidRPr="00E82C15">
        <w:rPr>
          <w:rFonts w:ascii="Arial" w:hAnsi="Arial" w:cs="Arial"/>
          <w:color w:val="222222"/>
        </w:rPr>
        <w:t>,</w:t>
      </w:r>
      <w:r w:rsidRPr="00E82C15">
        <w:rPr>
          <w:rFonts w:ascii="Arial" w:hAnsi="Arial" w:cs="Arial"/>
          <w:color w:val="222222"/>
        </w:rPr>
        <w:t xml:space="preserve"> se hace extensible durante el año 2024 la facultad conjunta que se recogía en el apartado diecisiete del citado artículo 122 a las personas titulares del Ministerio de Inclusión, Seguridad Social y Migraciones y del Ministerio de Trabajo y Economía Social para dictar las normas necesarias para la aplicación y desarrollo de lo previsto en el citado artículo. </w:t>
      </w:r>
    </w:p>
    <w:p w14:paraId="34BE9799" w14:textId="77777777" w:rsidR="00E82C15" w:rsidRPr="00E82C15" w:rsidRDefault="00E82C15" w:rsidP="00E82C15">
      <w:pPr>
        <w:autoSpaceDE w:val="0"/>
        <w:autoSpaceDN w:val="0"/>
        <w:adjustRightInd w:val="0"/>
        <w:spacing w:line="276" w:lineRule="auto"/>
        <w:jc w:val="both"/>
        <w:rPr>
          <w:rFonts w:ascii="Arial" w:hAnsi="Arial" w:cs="Arial"/>
          <w:color w:val="222222"/>
        </w:rPr>
      </w:pPr>
    </w:p>
    <w:p w14:paraId="1C7FCF4A" w14:textId="77777777" w:rsidR="00EA572F" w:rsidRPr="00E82C15" w:rsidRDefault="00EA572F" w:rsidP="00E82C15">
      <w:pPr>
        <w:autoSpaceDE w:val="0"/>
        <w:autoSpaceDN w:val="0"/>
        <w:adjustRightInd w:val="0"/>
        <w:spacing w:line="276" w:lineRule="auto"/>
        <w:jc w:val="both"/>
        <w:rPr>
          <w:rFonts w:ascii="Arial" w:hAnsi="Arial" w:cs="Arial"/>
          <w:color w:val="222222"/>
        </w:rPr>
      </w:pPr>
      <w:r w:rsidRPr="00E82C15">
        <w:rPr>
          <w:rFonts w:ascii="Arial" w:hAnsi="Arial" w:cs="Arial"/>
          <w:color w:val="222222"/>
        </w:rPr>
        <w:t xml:space="preserve">El Real Decreto-ley 8/2023, de 27 de diciembre, por el que se adoptan medidas para afrontar las consecuencias económicas y sociales derivadas de los conflictos en Ucrania y Oriente Próximo, así como para paliar los efectos de la sequía, establece con carácter transitorio, las disposiciones precisas que permiten articular, en tanto se apruebe la Ley de Presupuestos Generales del Estado para 2024, la </w:t>
      </w:r>
      <w:r w:rsidRPr="00E82C15">
        <w:rPr>
          <w:rFonts w:ascii="Arial" w:hAnsi="Arial" w:cs="Arial"/>
          <w:color w:val="222222"/>
          <w:u w:val="single"/>
        </w:rPr>
        <w:t xml:space="preserve">orden </w:t>
      </w:r>
      <w:proofErr w:type="spellStart"/>
      <w:r w:rsidRPr="00E82C15">
        <w:rPr>
          <w:rFonts w:ascii="Arial" w:hAnsi="Arial" w:cs="Arial"/>
          <w:color w:val="222222"/>
          <w:u w:val="single"/>
        </w:rPr>
        <w:t>Orden</w:t>
      </w:r>
      <w:proofErr w:type="spellEnd"/>
      <w:r w:rsidRPr="00E82C15">
        <w:rPr>
          <w:rFonts w:ascii="Arial" w:hAnsi="Arial" w:cs="Arial"/>
          <w:color w:val="222222"/>
          <w:u w:val="single"/>
        </w:rPr>
        <w:t xml:space="preserve"> PJC/51/2024</w:t>
      </w:r>
      <w:r w:rsidRPr="00E82C15">
        <w:rPr>
          <w:rFonts w:ascii="Arial" w:hAnsi="Arial" w:cs="Arial"/>
          <w:color w:val="222222"/>
        </w:rPr>
        <w:t>, de 29 de enero, por la que se desarrollan las normas legales de cotización a la Seguridad Social, desempleo, protección por cese de actividad, Fondo de Garantía Salarial y formación profesional para el ejercicio 2024 que contempla:</w:t>
      </w:r>
    </w:p>
    <w:p w14:paraId="6E3FFF3B" w14:textId="77777777" w:rsidR="00EA572F" w:rsidRPr="00E82C15" w:rsidRDefault="00EA572F" w:rsidP="00E82C15">
      <w:pPr>
        <w:autoSpaceDE w:val="0"/>
        <w:autoSpaceDN w:val="0"/>
        <w:adjustRightInd w:val="0"/>
        <w:spacing w:line="276" w:lineRule="auto"/>
        <w:jc w:val="both"/>
        <w:rPr>
          <w:rFonts w:ascii="Arial" w:hAnsi="Arial" w:cs="Arial"/>
          <w:color w:val="222222"/>
        </w:rPr>
      </w:pPr>
    </w:p>
    <w:p w14:paraId="282F60DD" w14:textId="77777777" w:rsidR="00EA572F" w:rsidRPr="00E82C15" w:rsidRDefault="00EA572F" w:rsidP="00E82C15">
      <w:pPr>
        <w:pStyle w:val="Prrafodelista"/>
        <w:numPr>
          <w:ilvl w:val="0"/>
          <w:numId w:val="7"/>
        </w:numPr>
        <w:autoSpaceDE w:val="0"/>
        <w:autoSpaceDN w:val="0"/>
        <w:adjustRightInd w:val="0"/>
        <w:spacing w:line="276" w:lineRule="auto"/>
        <w:jc w:val="both"/>
        <w:rPr>
          <w:rFonts w:ascii="Arial" w:hAnsi="Arial" w:cs="Arial"/>
          <w:i/>
          <w:iCs/>
          <w:color w:val="222222"/>
        </w:rPr>
      </w:pPr>
      <w:r w:rsidRPr="00E82C15">
        <w:rPr>
          <w:rFonts w:ascii="Arial" w:hAnsi="Arial" w:cs="Arial"/>
          <w:i/>
          <w:iCs/>
          <w:color w:val="222222"/>
        </w:rPr>
        <w:t>El establecimiento de las referencias a las bases mínimas, máximas y tope máximo de cotización de los regímenes del sistema de la Seguridad Social, a la aplicación del mecanismo de equidad intergeneracional y a la determinación de la cotización por la realización de prácticas formativas o prácticas académicas externas.</w:t>
      </w:r>
    </w:p>
    <w:p w14:paraId="3CA3BD73" w14:textId="77777777" w:rsidR="00EA572F" w:rsidRPr="00E82C15" w:rsidRDefault="00EA572F" w:rsidP="00E82C15">
      <w:pPr>
        <w:pStyle w:val="Prrafodelista"/>
        <w:numPr>
          <w:ilvl w:val="0"/>
          <w:numId w:val="7"/>
        </w:numPr>
        <w:autoSpaceDE w:val="0"/>
        <w:autoSpaceDN w:val="0"/>
        <w:adjustRightInd w:val="0"/>
        <w:spacing w:line="276" w:lineRule="auto"/>
        <w:jc w:val="both"/>
        <w:rPr>
          <w:rFonts w:ascii="Arial" w:hAnsi="Arial" w:cs="Arial"/>
          <w:i/>
          <w:iCs/>
          <w:color w:val="222222"/>
        </w:rPr>
      </w:pPr>
      <w:r w:rsidRPr="00E82C15">
        <w:rPr>
          <w:rFonts w:ascii="Arial" w:hAnsi="Arial" w:cs="Arial"/>
          <w:i/>
          <w:iCs/>
          <w:color w:val="222222"/>
        </w:rPr>
        <w:lastRenderedPageBreak/>
        <w:t>La aplicación de la cotización correspondiente al mecanismo de equidad intergeneracional del tipo del 0,70 por ciento.</w:t>
      </w:r>
    </w:p>
    <w:p w14:paraId="70A7C356" w14:textId="77777777" w:rsidR="00EA572F" w:rsidRPr="00E82C15" w:rsidRDefault="00EA572F" w:rsidP="00E82C15">
      <w:pPr>
        <w:pStyle w:val="Prrafodelista"/>
        <w:numPr>
          <w:ilvl w:val="0"/>
          <w:numId w:val="7"/>
        </w:numPr>
        <w:autoSpaceDE w:val="0"/>
        <w:autoSpaceDN w:val="0"/>
        <w:adjustRightInd w:val="0"/>
        <w:spacing w:line="276" w:lineRule="auto"/>
        <w:jc w:val="both"/>
        <w:rPr>
          <w:rFonts w:ascii="Arial" w:hAnsi="Arial" w:cs="Arial"/>
          <w:i/>
          <w:iCs/>
          <w:color w:val="222222"/>
        </w:rPr>
      </w:pPr>
      <w:r w:rsidRPr="00E82C15">
        <w:rPr>
          <w:rFonts w:ascii="Arial" w:hAnsi="Arial" w:cs="Arial"/>
          <w:i/>
          <w:iCs/>
          <w:color w:val="222222"/>
        </w:rPr>
        <w:t>La cotización por la realización de prácticas formativas o prácticas académicas externas incluidas en programas de formación sean o no remuneradas.</w:t>
      </w:r>
    </w:p>
    <w:p w14:paraId="6EFD9CEC" w14:textId="77777777" w:rsidR="00EA572F" w:rsidRPr="00E82C15" w:rsidRDefault="00EA572F" w:rsidP="00E82C15">
      <w:pPr>
        <w:pStyle w:val="Prrafodelista"/>
        <w:numPr>
          <w:ilvl w:val="0"/>
          <w:numId w:val="7"/>
        </w:numPr>
        <w:autoSpaceDE w:val="0"/>
        <w:autoSpaceDN w:val="0"/>
        <w:adjustRightInd w:val="0"/>
        <w:spacing w:line="276" w:lineRule="auto"/>
        <w:jc w:val="both"/>
        <w:rPr>
          <w:rFonts w:ascii="Arial" w:hAnsi="Arial" w:cs="Arial"/>
          <w:i/>
          <w:iCs/>
          <w:color w:val="222222"/>
        </w:rPr>
      </w:pPr>
      <w:r w:rsidRPr="00E82C15">
        <w:rPr>
          <w:rFonts w:ascii="Arial" w:hAnsi="Arial" w:cs="Arial"/>
          <w:i/>
          <w:iCs/>
          <w:color w:val="222222"/>
        </w:rPr>
        <w:t>Se fijan los topes máximo y mínimo de cotización por las contingencias de accidentes de trabajo y enfermedades profesionales.</w:t>
      </w:r>
    </w:p>
    <w:p w14:paraId="1279EC1E" w14:textId="77777777" w:rsidR="00EA572F" w:rsidRPr="00E82C15" w:rsidRDefault="00EA572F" w:rsidP="00E82C15">
      <w:pPr>
        <w:pStyle w:val="Prrafodelista"/>
        <w:numPr>
          <w:ilvl w:val="0"/>
          <w:numId w:val="7"/>
        </w:numPr>
        <w:autoSpaceDE w:val="0"/>
        <w:autoSpaceDN w:val="0"/>
        <w:adjustRightInd w:val="0"/>
        <w:spacing w:line="276" w:lineRule="auto"/>
        <w:jc w:val="both"/>
        <w:rPr>
          <w:rFonts w:ascii="Arial" w:hAnsi="Arial" w:cs="Arial"/>
          <w:i/>
          <w:iCs/>
          <w:color w:val="222222"/>
        </w:rPr>
      </w:pPr>
      <w:r w:rsidRPr="00E82C15">
        <w:rPr>
          <w:rFonts w:ascii="Arial" w:hAnsi="Arial" w:cs="Arial"/>
          <w:i/>
          <w:iCs/>
          <w:color w:val="222222"/>
        </w:rPr>
        <w:t xml:space="preserve">Se fijan los coeficientes aplicables para determinar la cotización a la Seguridad Social en </w:t>
      </w:r>
      <w:proofErr w:type="spellStart"/>
      <w:r w:rsidRPr="00E82C15">
        <w:rPr>
          <w:rFonts w:ascii="Arial" w:hAnsi="Arial" w:cs="Arial"/>
          <w:i/>
          <w:iCs/>
          <w:color w:val="222222"/>
        </w:rPr>
        <w:t>supuestosespecíficos</w:t>
      </w:r>
      <w:proofErr w:type="spellEnd"/>
      <w:r w:rsidRPr="00E82C15">
        <w:rPr>
          <w:rFonts w:ascii="Arial" w:hAnsi="Arial" w:cs="Arial"/>
          <w:i/>
          <w:iCs/>
          <w:color w:val="222222"/>
        </w:rPr>
        <w:t>, como son los de convenio especial o exclusión de alguna contingencia.</w:t>
      </w:r>
    </w:p>
    <w:p w14:paraId="6A640167" w14:textId="77777777" w:rsidR="00EA572F" w:rsidRPr="00E82C15" w:rsidRDefault="00EA572F" w:rsidP="00E82C15">
      <w:pPr>
        <w:pStyle w:val="Prrafodelista"/>
        <w:numPr>
          <w:ilvl w:val="0"/>
          <w:numId w:val="7"/>
        </w:numPr>
        <w:autoSpaceDE w:val="0"/>
        <w:autoSpaceDN w:val="0"/>
        <w:adjustRightInd w:val="0"/>
        <w:spacing w:line="276" w:lineRule="auto"/>
        <w:jc w:val="both"/>
        <w:rPr>
          <w:rFonts w:ascii="Arial" w:hAnsi="Arial" w:cs="Arial"/>
          <w:i/>
          <w:iCs/>
          <w:color w:val="222222"/>
        </w:rPr>
      </w:pPr>
      <w:r w:rsidRPr="00E82C15">
        <w:rPr>
          <w:rFonts w:ascii="Arial" w:hAnsi="Arial" w:cs="Arial"/>
          <w:i/>
          <w:iCs/>
          <w:color w:val="222222"/>
        </w:rPr>
        <w:t xml:space="preserve">Se establecen los coeficientes para la determinación de las aportaciones a cargo de las mutuas colaboradoras con la Seguridad Social al sostenimiento de los servicios comunes de la Seguridad </w:t>
      </w:r>
      <w:proofErr w:type="gramStart"/>
      <w:r w:rsidRPr="00E82C15">
        <w:rPr>
          <w:rFonts w:ascii="Arial" w:hAnsi="Arial" w:cs="Arial"/>
          <w:i/>
          <w:iCs/>
          <w:color w:val="222222"/>
        </w:rPr>
        <w:t>Social ,aportaciones</w:t>
      </w:r>
      <w:proofErr w:type="gramEnd"/>
      <w:r w:rsidRPr="00E82C15">
        <w:rPr>
          <w:rFonts w:ascii="Arial" w:hAnsi="Arial" w:cs="Arial"/>
          <w:i/>
          <w:iCs/>
          <w:color w:val="222222"/>
        </w:rPr>
        <w:t xml:space="preserve"> mediante las que se garantiza el mantenimiento del equilibrio financiero entre las entidades colaboradoras señaladas y la Administración de la Seguridad Social.</w:t>
      </w:r>
    </w:p>
    <w:p w14:paraId="1996C9B3" w14:textId="77777777" w:rsidR="00EA572F" w:rsidRPr="00E82C15" w:rsidRDefault="00EA572F" w:rsidP="00E82C15">
      <w:pPr>
        <w:autoSpaceDE w:val="0"/>
        <w:autoSpaceDN w:val="0"/>
        <w:adjustRightInd w:val="0"/>
        <w:spacing w:line="276" w:lineRule="auto"/>
        <w:jc w:val="both"/>
        <w:rPr>
          <w:rFonts w:ascii="Arial" w:hAnsi="Arial" w:cs="Arial"/>
          <w:i/>
          <w:iCs/>
          <w:color w:val="222222"/>
        </w:rPr>
      </w:pPr>
    </w:p>
    <w:p w14:paraId="48C4A67A" w14:textId="77777777" w:rsidR="00EA572F" w:rsidRPr="00E82C15" w:rsidRDefault="00EA572F" w:rsidP="00E82C15">
      <w:pPr>
        <w:autoSpaceDE w:val="0"/>
        <w:autoSpaceDN w:val="0"/>
        <w:adjustRightInd w:val="0"/>
        <w:spacing w:line="276" w:lineRule="auto"/>
        <w:jc w:val="both"/>
        <w:rPr>
          <w:rFonts w:ascii="Arial" w:hAnsi="Arial" w:cs="Arial"/>
          <w:color w:val="000000"/>
          <w:lang w:eastAsia="es-ES"/>
        </w:rPr>
      </w:pPr>
      <w:r w:rsidRPr="00E82C15">
        <w:rPr>
          <w:rFonts w:ascii="Arial" w:hAnsi="Arial" w:cs="Arial"/>
          <w:color w:val="000000"/>
          <w:lang w:eastAsia="es-ES"/>
        </w:rPr>
        <w:t>Artículo 2: Topes máximo y mínimo de cotización.</w:t>
      </w:r>
    </w:p>
    <w:p w14:paraId="3B3376FA" w14:textId="77777777" w:rsidR="00EA572F" w:rsidRPr="00E82C15" w:rsidRDefault="00EA572F" w:rsidP="00E82C15">
      <w:pPr>
        <w:autoSpaceDE w:val="0"/>
        <w:autoSpaceDN w:val="0"/>
        <w:adjustRightInd w:val="0"/>
        <w:spacing w:line="276" w:lineRule="auto"/>
        <w:jc w:val="both"/>
        <w:rPr>
          <w:rFonts w:ascii="Arial" w:hAnsi="Arial" w:cs="Arial"/>
          <w:color w:val="000000"/>
          <w:lang w:eastAsia="es-ES"/>
        </w:rPr>
      </w:pPr>
    </w:p>
    <w:p w14:paraId="40683ACC" w14:textId="77777777" w:rsidR="00EA572F" w:rsidRPr="00E82C15" w:rsidRDefault="00EA572F" w:rsidP="00E82C15">
      <w:pPr>
        <w:pStyle w:val="Prrafodelista"/>
        <w:numPr>
          <w:ilvl w:val="0"/>
          <w:numId w:val="8"/>
        </w:numPr>
        <w:autoSpaceDE w:val="0"/>
        <w:autoSpaceDN w:val="0"/>
        <w:adjustRightInd w:val="0"/>
        <w:spacing w:line="276" w:lineRule="auto"/>
        <w:jc w:val="both"/>
        <w:rPr>
          <w:rFonts w:ascii="Arial" w:hAnsi="Arial" w:cs="Arial"/>
          <w:color w:val="000000"/>
        </w:rPr>
      </w:pPr>
      <w:r w:rsidRPr="00E82C15">
        <w:rPr>
          <w:rFonts w:ascii="Arial" w:hAnsi="Arial" w:cs="Arial"/>
          <w:color w:val="000000"/>
        </w:rPr>
        <w:t xml:space="preserve">De conformidad con lo dispuesto en la disposición transitoria novena del Real Decreto-ley 8/2023, de 27 de diciembre, por el que se adoptan medidas para afrontar las consecuencias económicas y sociales derivadas </w:t>
      </w:r>
      <w:proofErr w:type="gramStart"/>
      <w:r w:rsidRPr="00E82C15">
        <w:rPr>
          <w:rFonts w:ascii="Arial" w:hAnsi="Arial" w:cs="Arial"/>
          <w:color w:val="000000"/>
        </w:rPr>
        <w:t>delos</w:t>
      </w:r>
      <w:proofErr w:type="gramEnd"/>
      <w:r w:rsidRPr="00E82C15">
        <w:rPr>
          <w:rFonts w:ascii="Arial" w:hAnsi="Arial" w:cs="Arial"/>
          <w:color w:val="000000"/>
        </w:rPr>
        <w:t xml:space="preserve"> conflictos en Ucrania y Oriente Próximo, así como para paliar los efectos de la sequía, el tope máximo de la base de cotización al Régimen General será, desde el 1 de enero de 2024, de 4.720,50 euros mensuales.</w:t>
      </w:r>
    </w:p>
    <w:p w14:paraId="79A4861D" w14:textId="77777777" w:rsidR="00EA572F" w:rsidRPr="00E82C15" w:rsidRDefault="00EA572F" w:rsidP="00E82C15">
      <w:pPr>
        <w:autoSpaceDE w:val="0"/>
        <w:autoSpaceDN w:val="0"/>
        <w:adjustRightInd w:val="0"/>
        <w:spacing w:line="276" w:lineRule="auto"/>
        <w:jc w:val="both"/>
        <w:rPr>
          <w:rFonts w:ascii="Arial" w:hAnsi="Arial" w:cs="Arial"/>
          <w:color w:val="000000"/>
        </w:rPr>
      </w:pPr>
    </w:p>
    <w:p w14:paraId="37B9F6DA" w14:textId="77777777" w:rsidR="00EA572F" w:rsidRPr="00E82C15" w:rsidRDefault="00EA572F" w:rsidP="00E82C15">
      <w:pPr>
        <w:pStyle w:val="Prrafodelista"/>
        <w:numPr>
          <w:ilvl w:val="0"/>
          <w:numId w:val="8"/>
        </w:numPr>
        <w:autoSpaceDE w:val="0"/>
        <w:autoSpaceDN w:val="0"/>
        <w:adjustRightInd w:val="0"/>
        <w:spacing w:line="276" w:lineRule="auto"/>
        <w:jc w:val="both"/>
        <w:rPr>
          <w:rFonts w:ascii="Arial" w:hAnsi="Arial" w:cs="Arial"/>
          <w:color w:val="000000"/>
        </w:rPr>
      </w:pPr>
      <w:r w:rsidRPr="00E82C15">
        <w:rPr>
          <w:rFonts w:ascii="Arial" w:hAnsi="Arial" w:cs="Arial"/>
          <w:color w:val="000000"/>
        </w:rPr>
        <w:t>Desde el 1 de enero de 2024, el tope mínimo de cotización para las contingencias de accidente de trabajo y enfermedad profesional será equivalente al salario mínimo interprofesional vigente en cada momento, incrementado en un sexto, salvo disposición expresa en contrario.</w:t>
      </w:r>
    </w:p>
    <w:p w14:paraId="743FEDD2" w14:textId="77777777" w:rsidR="00EA572F" w:rsidRPr="00E82C15" w:rsidRDefault="00EA572F" w:rsidP="00E82C15">
      <w:pPr>
        <w:autoSpaceDE w:val="0"/>
        <w:autoSpaceDN w:val="0"/>
        <w:adjustRightInd w:val="0"/>
        <w:spacing w:line="276" w:lineRule="auto"/>
        <w:jc w:val="both"/>
        <w:rPr>
          <w:rFonts w:ascii="Arial" w:hAnsi="Arial" w:cs="Arial"/>
          <w:color w:val="000000"/>
          <w:lang w:eastAsia="es-ES"/>
        </w:rPr>
      </w:pPr>
    </w:p>
    <w:p w14:paraId="53938F51" w14:textId="77777777" w:rsidR="00EA572F" w:rsidRPr="00E82C15" w:rsidRDefault="00EA572F" w:rsidP="00E82C15">
      <w:pPr>
        <w:autoSpaceDE w:val="0"/>
        <w:autoSpaceDN w:val="0"/>
        <w:adjustRightInd w:val="0"/>
        <w:spacing w:line="276" w:lineRule="auto"/>
        <w:jc w:val="both"/>
        <w:rPr>
          <w:rFonts w:ascii="Arial" w:hAnsi="Arial" w:cs="Arial"/>
          <w:color w:val="000000"/>
          <w:lang w:eastAsia="es-ES"/>
        </w:rPr>
      </w:pPr>
      <w:r w:rsidRPr="00E82C15">
        <w:rPr>
          <w:rFonts w:ascii="Arial" w:hAnsi="Arial" w:cs="Arial"/>
          <w:color w:val="000000"/>
          <w:lang w:eastAsia="es-ES"/>
        </w:rPr>
        <w:t>Artículo 4. Tipos de cotización. Desde el 1 de enero de 2024, los tipos de cotización al Régimen General serán los siguientes:</w:t>
      </w:r>
    </w:p>
    <w:p w14:paraId="5EEE0432" w14:textId="77777777" w:rsidR="00EA572F" w:rsidRPr="00E82C15" w:rsidRDefault="00EA572F" w:rsidP="00E82C15">
      <w:pPr>
        <w:autoSpaceDE w:val="0"/>
        <w:autoSpaceDN w:val="0"/>
        <w:adjustRightInd w:val="0"/>
        <w:spacing w:line="276" w:lineRule="auto"/>
        <w:jc w:val="both"/>
        <w:rPr>
          <w:rFonts w:ascii="Arial" w:hAnsi="Arial" w:cs="Arial"/>
          <w:color w:val="000000"/>
          <w:lang w:eastAsia="es-ES"/>
        </w:rPr>
      </w:pPr>
    </w:p>
    <w:p w14:paraId="6C23CFF9" w14:textId="77777777" w:rsidR="00EA572F" w:rsidRPr="00E82C15" w:rsidRDefault="00EA572F" w:rsidP="00E82C15">
      <w:pPr>
        <w:pStyle w:val="Prrafodelista"/>
        <w:numPr>
          <w:ilvl w:val="0"/>
          <w:numId w:val="9"/>
        </w:numPr>
        <w:autoSpaceDE w:val="0"/>
        <w:autoSpaceDN w:val="0"/>
        <w:adjustRightInd w:val="0"/>
        <w:spacing w:line="276" w:lineRule="auto"/>
        <w:jc w:val="both"/>
        <w:rPr>
          <w:rFonts w:ascii="Arial" w:hAnsi="Arial" w:cs="Arial"/>
          <w:i/>
          <w:iCs/>
          <w:color w:val="222222"/>
        </w:rPr>
      </w:pPr>
      <w:r w:rsidRPr="00E82C15">
        <w:rPr>
          <w:rFonts w:ascii="Arial" w:hAnsi="Arial" w:cs="Arial"/>
          <w:color w:val="000000"/>
        </w:rPr>
        <w:t>Para las contingencias comunes, el 28,30 por ciento, del que el 23,60 por ciento será a cargo de la empresa y el 4,70 por ciento, a cargo del trabajador.</w:t>
      </w:r>
    </w:p>
    <w:p w14:paraId="34EE6D2F" w14:textId="77777777" w:rsidR="00EA572F" w:rsidRPr="00E82C15" w:rsidRDefault="00EA572F" w:rsidP="00E82C15">
      <w:pPr>
        <w:autoSpaceDE w:val="0"/>
        <w:autoSpaceDN w:val="0"/>
        <w:adjustRightInd w:val="0"/>
        <w:spacing w:line="276" w:lineRule="auto"/>
        <w:jc w:val="both"/>
        <w:rPr>
          <w:rFonts w:ascii="Arial" w:hAnsi="Arial" w:cs="Arial"/>
          <w:i/>
          <w:iCs/>
          <w:color w:val="222222"/>
        </w:rPr>
      </w:pPr>
    </w:p>
    <w:p w14:paraId="39DF62F1" w14:textId="77777777" w:rsidR="00EA572F" w:rsidRPr="00E82C15" w:rsidRDefault="00EA572F" w:rsidP="00E82C15">
      <w:pPr>
        <w:autoSpaceDE w:val="0"/>
        <w:autoSpaceDN w:val="0"/>
        <w:adjustRightInd w:val="0"/>
        <w:spacing w:line="276" w:lineRule="auto"/>
        <w:jc w:val="both"/>
        <w:rPr>
          <w:rFonts w:ascii="Arial" w:hAnsi="Arial" w:cs="Arial"/>
          <w:color w:val="222222"/>
        </w:rPr>
      </w:pPr>
      <w:r w:rsidRPr="00E82C15">
        <w:rPr>
          <w:rFonts w:ascii="Arial" w:hAnsi="Arial" w:cs="Arial"/>
          <w:color w:val="222222"/>
        </w:rPr>
        <w:t>Las bases mínimas de cotización de todos los grupos profesionales previstas en la orden tendrán carácter provisional hasta que, mediante una nueva orden ministerial, se aprueben de forma definitiva.</w:t>
      </w:r>
    </w:p>
    <w:p w14:paraId="2F854441" w14:textId="77777777" w:rsidR="00EA572F" w:rsidRPr="00E82C15" w:rsidRDefault="00EA572F" w:rsidP="00E82C15">
      <w:pPr>
        <w:pStyle w:val="Citadestacada"/>
        <w:spacing w:line="276" w:lineRule="auto"/>
        <w:rPr>
          <w:rFonts w:ascii="Arial" w:hAnsi="Arial" w:cs="Arial"/>
          <w:b/>
          <w:bCs/>
        </w:rPr>
      </w:pPr>
      <w:r w:rsidRPr="00E82C15">
        <w:rPr>
          <w:rFonts w:ascii="Arial" w:hAnsi="Arial" w:cs="Arial"/>
          <w:b/>
          <w:bCs/>
        </w:rPr>
        <w:lastRenderedPageBreak/>
        <w:t>SALARIO MÍNIMO INTERPROFESIONAL (SMI) PARA 2024</w:t>
      </w:r>
    </w:p>
    <w:p w14:paraId="26983B58" w14:textId="77777777" w:rsidR="00EA572F" w:rsidRPr="00E82C15" w:rsidRDefault="00EA572F" w:rsidP="00E82C15">
      <w:pPr>
        <w:autoSpaceDE w:val="0"/>
        <w:autoSpaceDN w:val="0"/>
        <w:adjustRightInd w:val="0"/>
        <w:spacing w:line="276" w:lineRule="auto"/>
        <w:jc w:val="both"/>
        <w:rPr>
          <w:rFonts w:ascii="Arial" w:hAnsi="Arial" w:cs="Arial"/>
          <w:color w:val="222222"/>
        </w:rPr>
      </w:pPr>
      <w:r w:rsidRPr="00E82C15">
        <w:rPr>
          <w:rFonts w:ascii="Arial" w:hAnsi="Arial" w:cs="Arial"/>
          <w:color w:val="222222"/>
        </w:rPr>
        <w:t>En el BOE de 7 de febrero de 2024, se publica el Real Decreto 145/2024, de 6 de febrero, por el que se fija el salario mínimo interprofesional para 2024.</w:t>
      </w:r>
    </w:p>
    <w:p w14:paraId="39296E9E" w14:textId="77777777" w:rsidR="00EA572F" w:rsidRPr="00E82C15" w:rsidRDefault="00EA572F" w:rsidP="00E82C15">
      <w:pPr>
        <w:autoSpaceDE w:val="0"/>
        <w:autoSpaceDN w:val="0"/>
        <w:adjustRightInd w:val="0"/>
        <w:spacing w:line="276" w:lineRule="auto"/>
        <w:jc w:val="both"/>
        <w:rPr>
          <w:rFonts w:ascii="Arial" w:hAnsi="Arial" w:cs="Arial"/>
          <w:color w:val="222222"/>
        </w:rPr>
      </w:pPr>
    </w:p>
    <w:p w14:paraId="05858077" w14:textId="77777777" w:rsidR="00EA572F" w:rsidRPr="00E82C15" w:rsidRDefault="00000000" w:rsidP="00E82C15">
      <w:pPr>
        <w:autoSpaceDE w:val="0"/>
        <w:autoSpaceDN w:val="0"/>
        <w:adjustRightInd w:val="0"/>
        <w:spacing w:line="276" w:lineRule="auto"/>
        <w:jc w:val="both"/>
        <w:rPr>
          <w:rFonts w:ascii="Arial" w:hAnsi="Arial" w:cs="Arial"/>
          <w:color w:val="222222"/>
        </w:rPr>
      </w:pPr>
      <w:hyperlink r:id="rId10" w:history="1">
        <w:r w:rsidR="00EA572F" w:rsidRPr="00E82C15">
          <w:rPr>
            <w:rStyle w:val="Hipervnculo"/>
            <w:rFonts w:ascii="Arial" w:hAnsi="Arial" w:cs="Arial"/>
          </w:rPr>
          <w:t>https://www.boe.es/boe/dias/2024/02/07/pdfs/BOE-A-2024-2251.pdf</w:t>
        </w:r>
      </w:hyperlink>
    </w:p>
    <w:p w14:paraId="6D9DF945" w14:textId="77777777" w:rsidR="00EA572F" w:rsidRPr="00E82C15" w:rsidRDefault="00EA572F" w:rsidP="00E82C15">
      <w:pPr>
        <w:autoSpaceDE w:val="0"/>
        <w:autoSpaceDN w:val="0"/>
        <w:adjustRightInd w:val="0"/>
        <w:spacing w:line="276" w:lineRule="auto"/>
        <w:jc w:val="both"/>
        <w:rPr>
          <w:rFonts w:ascii="Arial" w:hAnsi="Arial" w:cs="Arial"/>
          <w:color w:val="222222"/>
        </w:rPr>
      </w:pPr>
    </w:p>
    <w:p w14:paraId="6070B411" w14:textId="77777777" w:rsidR="00EA572F" w:rsidRPr="00E82C15" w:rsidRDefault="00EA572F" w:rsidP="00E82C15">
      <w:pPr>
        <w:autoSpaceDE w:val="0"/>
        <w:autoSpaceDN w:val="0"/>
        <w:adjustRightInd w:val="0"/>
        <w:spacing w:line="276" w:lineRule="auto"/>
        <w:jc w:val="both"/>
        <w:rPr>
          <w:rFonts w:ascii="Arial" w:hAnsi="Arial" w:cs="Arial"/>
          <w:color w:val="222222"/>
        </w:rPr>
      </w:pPr>
      <w:r w:rsidRPr="00E82C15">
        <w:rPr>
          <w:rFonts w:ascii="Arial" w:hAnsi="Arial" w:cs="Arial"/>
          <w:color w:val="222222"/>
        </w:rPr>
        <w:t xml:space="preserve">Cuantía del salario mínimo interprofesional. El salario mínimo para cualesquiera actividades en la agricultura, en la industria y en los servicios, sin distinción de sexo ni edad de los trabajadores, queda fijado en 37,8 euros/día o 1.134 euros/mes, según el salario esté fijado por días o por meses. </w:t>
      </w:r>
    </w:p>
    <w:p w14:paraId="5EB8CE82" w14:textId="77777777" w:rsidR="00EA572F" w:rsidRPr="00E82C15" w:rsidRDefault="00EA572F" w:rsidP="00E82C15">
      <w:pPr>
        <w:autoSpaceDE w:val="0"/>
        <w:autoSpaceDN w:val="0"/>
        <w:adjustRightInd w:val="0"/>
        <w:spacing w:line="276" w:lineRule="auto"/>
        <w:jc w:val="both"/>
        <w:rPr>
          <w:rFonts w:ascii="Arial" w:hAnsi="Arial" w:cs="Arial"/>
          <w:color w:val="222222"/>
        </w:rPr>
      </w:pPr>
    </w:p>
    <w:p w14:paraId="72D7455D" w14:textId="77777777" w:rsidR="00EA572F" w:rsidRPr="00E82C15" w:rsidRDefault="00EA572F" w:rsidP="00E82C15">
      <w:pPr>
        <w:autoSpaceDE w:val="0"/>
        <w:autoSpaceDN w:val="0"/>
        <w:adjustRightInd w:val="0"/>
        <w:spacing w:line="276" w:lineRule="auto"/>
        <w:jc w:val="both"/>
        <w:rPr>
          <w:rFonts w:ascii="Arial" w:hAnsi="Arial" w:cs="Arial"/>
          <w:color w:val="222222"/>
        </w:rPr>
      </w:pPr>
      <w:r w:rsidRPr="00E82C15">
        <w:rPr>
          <w:rFonts w:ascii="Arial" w:hAnsi="Arial" w:cs="Arial"/>
          <w:color w:val="222222"/>
        </w:rPr>
        <w:t xml:space="preserve">En el salario mínimo se computa únicamente la retribución en dinero, sin que el salario en especie pueda, en ningún caso, dar lugar a la minoración de la cuantía íntegra en dinero de aquel. </w:t>
      </w:r>
    </w:p>
    <w:p w14:paraId="478CEF74" w14:textId="77777777" w:rsidR="00EA572F" w:rsidRPr="00E82C15" w:rsidRDefault="00EA572F" w:rsidP="00E82C15">
      <w:pPr>
        <w:autoSpaceDE w:val="0"/>
        <w:autoSpaceDN w:val="0"/>
        <w:adjustRightInd w:val="0"/>
        <w:spacing w:line="276" w:lineRule="auto"/>
        <w:jc w:val="both"/>
        <w:rPr>
          <w:rFonts w:ascii="Arial" w:hAnsi="Arial" w:cs="Arial"/>
          <w:color w:val="222222"/>
        </w:rPr>
      </w:pPr>
    </w:p>
    <w:p w14:paraId="04CB19EC" w14:textId="77777777" w:rsidR="00EA572F" w:rsidRPr="00E82C15" w:rsidRDefault="00EA572F" w:rsidP="00E82C15">
      <w:pPr>
        <w:autoSpaceDE w:val="0"/>
        <w:autoSpaceDN w:val="0"/>
        <w:adjustRightInd w:val="0"/>
        <w:spacing w:line="276" w:lineRule="auto"/>
        <w:jc w:val="both"/>
        <w:rPr>
          <w:rFonts w:ascii="Arial" w:hAnsi="Arial" w:cs="Arial"/>
          <w:color w:val="222222"/>
        </w:rPr>
      </w:pPr>
      <w:r w:rsidRPr="00E82C15">
        <w:rPr>
          <w:rFonts w:ascii="Arial" w:hAnsi="Arial" w:cs="Arial"/>
          <w:color w:val="222222"/>
        </w:rPr>
        <w:t>Este real decreto entrará en vigor el día siguiente al de su publicación en el «Boletín Oficial del Estado» y surtirá efectos durante el período comprendido entre el 1 de enero y el 31 de diciembre de 2024, procediendo, en consecuencia, el abono del salario mínimo en el mismo establecido con efectos desde el 1 de enero de 2024.</w:t>
      </w:r>
    </w:p>
    <w:p w14:paraId="640F56E7" w14:textId="77777777" w:rsidR="00A45202" w:rsidRPr="00E82C15" w:rsidRDefault="00A45202" w:rsidP="00E82C15">
      <w:pPr>
        <w:autoSpaceDE w:val="0"/>
        <w:autoSpaceDN w:val="0"/>
        <w:adjustRightInd w:val="0"/>
        <w:spacing w:line="276" w:lineRule="auto"/>
        <w:jc w:val="both"/>
        <w:rPr>
          <w:rFonts w:ascii="Arial" w:hAnsi="Arial" w:cs="Arial"/>
          <w:b/>
          <w:i/>
          <w:iCs/>
          <w:color w:val="00B050"/>
        </w:rPr>
      </w:pPr>
    </w:p>
    <w:p w14:paraId="3B85BC5A" w14:textId="6C01B723" w:rsidR="00A45202" w:rsidRPr="00E82C15" w:rsidRDefault="00480B4B" w:rsidP="00E82C15">
      <w:pPr>
        <w:pStyle w:val="Citadestacada"/>
        <w:spacing w:line="276" w:lineRule="auto"/>
        <w:rPr>
          <w:rFonts w:ascii="Arial" w:hAnsi="Arial" w:cs="Arial"/>
          <w:b/>
          <w:bCs/>
        </w:rPr>
      </w:pPr>
      <w:r w:rsidRPr="00E82C15">
        <w:rPr>
          <w:rFonts w:ascii="Arial" w:hAnsi="Arial" w:cs="Arial"/>
          <w:b/>
          <w:bCs/>
        </w:rPr>
        <w:t>PLANES DE IGUALDAD</w:t>
      </w:r>
    </w:p>
    <w:p w14:paraId="149799C5" w14:textId="1CB01454" w:rsidR="00A45202" w:rsidRPr="00E82C15" w:rsidRDefault="00A45202" w:rsidP="00E82C15">
      <w:pPr>
        <w:shd w:val="clear" w:color="auto" w:fill="FFFFFF"/>
        <w:spacing w:after="200" w:line="276" w:lineRule="auto"/>
        <w:jc w:val="both"/>
        <w:rPr>
          <w:rFonts w:ascii="Arial" w:eastAsiaTheme="minorEastAsia" w:hAnsi="Arial" w:cs="Arial"/>
          <w:bCs/>
          <w:color w:val="365F91"/>
          <w:lang w:val="es-ES_tradnl"/>
        </w:rPr>
      </w:pPr>
      <w:r w:rsidRPr="00E82C15">
        <w:rPr>
          <w:rFonts w:ascii="Arial" w:eastAsiaTheme="minorEastAsia" w:hAnsi="Arial" w:cs="Arial"/>
          <w:b/>
          <w:bCs/>
          <w:color w:val="365F91"/>
          <w:lang w:val="es-ES_tradnl"/>
        </w:rPr>
        <w:t xml:space="preserve">Recordar: La Modificación del Real Decreto Legislativo 5/2015, de 30 de octubre, </w:t>
      </w:r>
      <w:r w:rsidRPr="00E82C15">
        <w:rPr>
          <w:rFonts w:ascii="Arial" w:eastAsiaTheme="minorEastAsia" w:hAnsi="Arial" w:cs="Arial"/>
          <w:bCs/>
          <w:color w:val="365F91"/>
          <w:lang w:val="es-ES_tradnl"/>
        </w:rPr>
        <w:t xml:space="preserve">por el que se aprueba el texto refundido de la Ley del Estatuto Básico del Empleado Público. </w:t>
      </w:r>
    </w:p>
    <w:p w14:paraId="16F2E293" w14:textId="77777777" w:rsidR="00A45202" w:rsidRPr="00E82C15" w:rsidRDefault="00A45202" w:rsidP="00E82C15">
      <w:pPr>
        <w:shd w:val="clear" w:color="auto" w:fill="FFFFFF"/>
        <w:spacing w:before="100" w:beforeAutospacing="1" w:after="100" w:afterAutospacing="1" w:line="276" w:lineRule="auto"/>
        <w:jc w:val="both"/>
        <w:rPr>
          <w:rFonts w:ascii="Arial" w:hAnsi="Arial" w:cs="Arial"/>
          <w:color w:val="222222"/>
          <w:lang w:eastAsia="es-ES"/>
        </w:rPr>
      </w:pPr>
      <w:r w:rsidRPr="00E82C15">
        <w:rPr>
          <w:rFonts w:ascii="Arial" w:hAnsi="Arial" w:cs="Arial"/>
          <w:color w:val="222222"/>
          <w:lang w:eastAsia="es-ES"/>
        </w:rPr>
        <w:t xml:space="preserve">Se modificó a través de la LGPGE 2023, entre otros, la disposición adicional séptima, sobre los </w:t>
      </w:r>
      <w:r w:rsidRPr="00E82C15">
        <w:rPr>
          <w:rFonts w:ascii="Arial" w:hAnsi="Arial" w:cs="Arial"/>
          <w:b/>
          <w:bCs/>
          <w:color w:val="222222"/>
          <w:lang w:eastAsia="es-ES"/>
        </w:rPr>
        <w:t>Planes de Igualdad</w:t>
      </w:r>
      <w:r w:rsidRPr="00E82C15">
        <w:rPr>
          <w:rFonts w:ascii="Arial" w:hAnsi="Arial" w:cs="Arial"/>
          <w:color w:val="222222"/>
          <w:lang w:eastAsia="es-ES"/>
        </w:rPr>
        <w:t xml:space="preserve">, para incluir la obligación que tienen las Administraciones de aprobar, </w:t>
      </w:r>
      <w:r w:rsidRPr="00E82C15">
        <w:rPr>
          <w:rFonts w:ascii="Arial" w:hAnsi="Arial" w:cs="Arial"/>
          <w:b/>
          <w:color w:val="222222"/>
          <w:lang w:eastAsia="es-ES"/>
        </w:rPr>
        <w:t>al inicio de cada legislatura,</w:t>
      </w:r>
      <w:r w:rsidRPr="00E82C15">
        <w:rPr>
          <w:rFonts w:ascii="Arial" w:hAnsi="Arial" w:cs="Arial"/>
          <w:color w:val="222222"/>
          <w:lang w:eastAsia="es-ES"/>
        </w:rPr>
        <w:t xml:space="preserve"> el citado Plan, a desarrollar en el convenio colectivo o acuerdo de condiciones de trabajo del personal funcionario. </w:t>
      </w:r>
    </w:p>
    <w:p w14:paraId="7EEAEA3B" w14:textId="1BE724B4" w:rsidR="00A45202" w:rsidRPr="00E82C15" w:rsidRDefault="00A45202" w:rsidP="00E82C15">
      <w:pPr>
        <w:shd w:val="clear" w:color="auto" w:fill="FFFFFF"/>
        <w:spacing w:before="100" w:beforeAutospacing="1" w:after="100" w:afterAutospacing="1" w:line="276" w:lineRule="auto"/>
        <w:jc w:val="both"/>
        <w:rPr>
          <w:rFonts w:ascii="Arial" w:hAnsi="Arial" w:cs="Arial"/>
          <w:color w:val="222222"/>
          <w:lang w:eastAsia="es-ES"/>
        </w:rPr>
      </w:pPr>
      <w:r w:rsidRPr="00E82C15">
        <w:rPr>
          <w:rFonts w:ascii="Arial" w:hAnsi="Arial" w:cs="Arial"/>
          <w:color w:val="222222"/>
          <w:lang w:eastAsia="es-ES"/>
        </w:rPr>
        <w:t xml:space="preserve">Se añade que el Plan establecerá los objetivos a alcanzar en materia de promoción de la igualdad de trato y oportunidades, así como las estrategias o medidas a adoptar para su consecución. Deberá ser objeto de negociación e inscrito en el </w:t>
      </w:r>
      <w:r w:rsidRPr="00E82C15">
        <w:rPr>
          <w:rFonts w:ascii="Arial" w:hAnsi="Arial" w:cs="Arial"/>
          <w:color w:val="222222"/>
          <w:lang w:eastAsia="es-ES"/>
        </w:rPr>
        <w:lastRenderedPageBreak/>
        <w:t>Registro de Planes de Igualdad, adscrito al departamento con competencias en materia de función pública, al que deberán remitir las distintas Administraciones públicas sus Planes de Igualdad, así como sus protocolos que permitan proteger a las víctimas de acoso sexual y por razón de sexo.</w:t>
      </w:r>
    </w:p>
    <w:p w14:paraId="1528C88E" w14:textId="4A4646A3" w:rsidR="00A45202" w:rsidRPr="00E82C15" w:rsidRDefault="00480B4B" w:rsidP="00E82C15">
      <w:pPr>
        <w:pStyle w:val="Citadestacada"/>
        <w:spacing w:line="276" w:lineRule="auto"/>
        <w:rPr>
          <w:rFonts w:ascii="Arial" w:hAnsi="Arial" w:cs="Arial"/>
          <w:b/>
          <w:bCs/>
        </w:rPr>
      </w:pPr>
      <w:r w:rsidRPr="00E82C15">
        <w:rPr>
          <w:rFonts w:ascii="Arial" w:hAnsi="Arial" w:cs="Arial"/>
          <w:b/>
          <w:bCs/>
        </w:rPr>
        <w:t>MODIFICACIONES NORMATIVAS 2023</w:t>
      </w:r>
    </w:p>
    <w:p w14:paraId="58A2B172" w14:textId="46006016" w:rsidR="00A45202" w:rsidRDefault="00A45202" w:rsidP="00E82C15">
      <w:pPr>
        <w:shd w:val="clear" w:color="auto" w:fill="FFFFFF"/>
        <w:spacing w:after="200" w:line="276" w:lineRule="auto"/>
        <w:jc w:val="both"/>
        <w:rPr>
          <w:rFonts w:ascii="Arial" w:eastAsiaTheme="minorEastAsia" w:hAnsi="Arial" w:cs="Arial"/>
          <w:color w:val="365F91"/>
          <w:lang w:val="es-ES_tradnl"/>
        </w:rPr>
      </w:pPr>
      <w:r w:rsidRPr="00E82C15">
        <w:rPr>
          <w:rFonts w:ascii="Arial" w:eastAsiaTheme="minorEastAsia" w:hAnsi="Arial" w:cs="Arial"/>
          <w:b/>
          <w:bCs/>
          <w:color w:val="365F91"/>
          <w:lang w:val="es-ES_tradnl"/>
        </w:rPr>
        <w:t xml:space="preserve">Ley 2/2023, de 20 de febrero, </w:t>
      </w:r>
      <w:r w:rsidRPr="00E82C15">
        <w:rPr>
          <w:rFonts w:ascii="Arial" w:eastAsiaTheme="minorEastAsia" w:hAnsi="Arial" w:cs="Arial"/>
          <w:color w:val="365F91"/>
          <w:lang w:val="es-ES_tradnl"/>
        </w:rPr>
        <w:t>reguladora de la protección de las personas que informen sobre infracciones normativas y de lucha contra la corrupción</w:t>
      </w:r>
      <w:r w:rsidR="00E82C15">
        <w:rPr>
          <w:rFonts w:ascii="Arial" w:eastAsiaTheme="minorEastAsia" w:hAnsi="Arial" w:cs="Arial"/>
          <w:color w:val="365F91"/>
          <w:lang w:val="es-ES_tradnl"/>
        </w:rPr>
        <w:t>.</w:t>
      </w:r>
    </w:p>
    <w:p w14:paraId="5FA762DC" w14:textId="196330C8" w:rsidR="00E82C15" w:rsidRPr="00E82C15" w:rsidRDefault="00E82C15" w:rsidP="00E82C15">
      <w:pPr>
        <w:shd w:val="clear" w:color="auto" w:fill="FFFFFF"/>
        <w:spacing w:after="200" w:line="276" w:lineRule="auto"/>
        <w:jc w:val="both"/>
        <w:rPr>
          <w:rFonts w:ascii="Arial" w:eastAsiaTheme="minorEastAsia" w:hAnsi="Arial" w:cs="Arial"/>
          <w:color w:val="365F91"/>
          <w:lang w:val="es-ES_tradnl"/>
        </w:rPr>
      </w:pPr>
      <w:r w:rsidRPr="00E82C15">
        <w:rPr>
          <w:rFonts w:ascii="Arial" w:eastAsiaTheme="minorEastAsia" w:hAnsi="Arial" w:cs="Arial"/>
          <w:color w:val="365F91"/>
          <w:lang w:val="es-ES_tradnl"/>
        </w:rPr>
        <w:t>https://www.boe.es/buscar/act.php?id=BOE-A-2023-4513</w:t>
      </w:r>
    </w:p>
    <w:p w14:paraId="402B11EB" w14:textId="0CC76115" w:rsidR="00A45202" w:rsidRPr="00E82C15" w:rsidRDefault="00A45202" w:rsidP="00E82C15">
      <w:pPr>
        <w:spacing w:line="276" w:lineRule="auto"/>
        <w:jc w:val="both"/>
        <w:rPr>
          <w:rFonts w:ascii="Arial" w:hAnsi="Arial" w:cs="Arial"/>
          <w:lang w:eastAsia="es-ES"/>
        </w:rPr>
      </w:pPr>
      <w:r w:rsidRPr="00E82C15">
        <w:rPr>
          <w:rFonts w:ascii="Arial" w:hAnsi="Arial" w:cs="Arial"/>
          <w:lang w:eastAsia="es-ES"/>
        </w:rPr>
        <w:t>Ley 2/2023, de 20 de febrero, regula la protección de las personas que</w:t>
      </w:r>
      <w:r w:rsidR="004B4906" w:rsidRPr="00E82C15">
        <w:rPr>
          <w:rFonts w:ascii="Arial" w:hAnsi="Arial" w:cs="Arial"/>
          <w:lang w:eastAsia="es-ES"/>
        </w:rPr>
        <w:t xml:space="preserve">, </w:t>
      </w:r>
      <w:r w:rsidRPr="00E82C15">
        <w:rPr>
          <w:rFonts w:ascii="Arial" w:hAnsi="Arial" w:cs="Arial"/>
          <w:lang w:eastAsia="es-ES"/>
        </w:rPr>
        <w:t>en un contexto laboral o profesional</w:t>
      </w:r>
      <w:r w:rsidR="004B4906" w:rsidRPr="00E82C15">
        <w:rPr>
          <w:rFonts w:ascii="Arial" w:hAnsi="Arial" w:cs="Arial"/>
          <w:lang w:eastAsia="es-ES"/>
        </w:rPr>
        <w:t>,</w:t>
      </w:r>
      <w:r w:rsidRPr="00E82C15">
        <w:rPr>
          <w:rFonts w:ascii="Arial" w:hAnsi="Arial" w:cs="Arial"/>
          <w:lang w:eastAsia="es-ES"/>
        </w:rPr>
        <w:t xml:space="preserve"> informen sobre infracciones</w:t>
      </w:r>
      <w:r w:rsidR="004B4906" w:rsidRPr="00E82C15">
        <w:rPr>
          <w:rFonts w:ascii="Arial" w:hAnsi="Arial" w:cs="Arial"/>
          <w:lang w:eastAsia="es-ES"/>
        </w:rPr>
        <w:t xml:space="preserve">, </w:t>
      </w:r>
      <w:r w:rsidRPr="00E82C15">
        <w:rPr>
          <w:rFonts w:ascii="Arial" w:hAnsi="Arial" w:cs="Arial"/>
          <w:lang w:eastAsia="es-ES"/>
        </w:rPr>
        <w:t>penales o administrativas graves o muy graves</w:t>
      </w:r>
      <w:r w:rsidR="004B4906" w:rsidRPr="00E82C15">
        <w:rPr>
          <w:rFonts w:ascii="Arial" w:hAnsi="Arial" w:cs="Arial"/>
          <w:lang w:eastAsia="es-ES"/>
        </w:rPr>
        <w:t>,</w:t>
      </w:r>
      <w:r w:rsidRPr="00E82C15">
        <w:rPr>
          <w:rFonts w:ascii="Arial" w:hAnsi="Arial" w:cs="Arial"/>
          <w:lang w:eastAsia="es-ES"/>
        </w:rPr>
        <w:t xml:space="preserve"> normativas y lucha contra la corrupción</w:t>
      </w:r>
      <w:r w:rsidR="004B4906" w:rsidRPr="00E82C15">
        <w:rPr>
          <w:rFonts w:ascii="Arial" w:hAnsi="Arial" w:cs="Arial"/>
          <w:lang w:eastAsia="es-ES"/>
        </w:rPr>
        <w:t xml:space="preserve">, </w:t>
      </w:r>
      <w:r w:rsidRPr="00E82C15">
        <w:rPr>
          <w:rFonts w:ascii="Arial" w:hAnsi="Arial" w:cs="Arial"/>
          <w:lang w:eastAsia="es-ES"/>
        </w:rPr>
        <w:t xml:space="preserve">mediante los mecanismos regulados en la misma. </w:t>
      </w:r>
    </w:p>
    <w:p w14:paraId="7467AACB" w14:textId="77777777" w:rsidR="006D67C0" w:rsidRPr="00E82C15" w:rsidRDefault="006D67C0" w:rsidP="00E82C15">
      <w:pPr>
        <w:spacing w:line="276" w:lineRule="auto"/>
        <w:jc w:val="both"/>
        <w:rPr>
          <w:rFonts w:ascii="Arial" w:hAnsi="Arial" w:cs="Arial"/>
          <w:lang w:eastAsia="es-ES"/>
        </w:rPr>
      </w:pPr>
    </w:p>
    <w:p w14:paraId="4F5B457A" w14:textId="3FDBB186" w:rsidR="00A45202" w:rsidRPr="00E82C15" w:rsidRDefault="00A45202" w:rsidP="00E82C15">
      <w:pPr>
        <w:spacing w:line="276" w:lineRule="auto"/>
        <w:jc w:val="both"/>
        <w:rPr>
          <w:rFonts w:ascii="Arial" w:hAnsi="Arial" w:cs="Arial"/>
          <w:lang w:eastAsia="es-ES"/>
        </w:rPr>
      </w:pPr>
      <w:r w:rsidRPr="00E82C15">
        <w:rPr>
          <w:rFonts w:ascii="Arial" w:hAnsi="Arial" w:cs="Arial"/>
          <w:lang w:eastAsia="es-ES"/>
        </w:rPr>
        <w:t>El cumplimiento de los objetivos de esta ley obliga a las E</w:t>
      </w:r>
      <w:r w:rsidR="0000450E" w:rsidRPr="00E82C15">
        <w:rPr>
          <w:rFonts w:ascii="Arial" w:hAnsi="Arial" w:cs="Arial"/>
          <w:lang w:eastAsia="es-ES"/>
        </w:rPr>
        <w:t xml:space="preserve">ntidades </w:t>
      </w:r>
      <w:r w:rsidRPr="00E82C15">
        <w:rPr>
          <w:rFonts w:ascii="Arial" w:hAnsi="Arial" w:cs="Arial"/>
          <w:lang w:eastAsia="es-ES"/>
        </w:rPr>
        <w:t>L</w:t>
      </w:r>
      <w:r w:rsidR="0000450E" w:rsidRPr="00E82C15">
        <w:rPr>
          <w:rFonts w:ascii="Arial" w:hAnsi="Arial" w:cs="Arial"/>
          <w:lang w:eastAsia="es-ES"/>
        </w:rPr>
        <w:t>ocales</w:t>
      </w:r>
      <w:r w:rsidRPr="00E82C15">
        <w:rPr>
          <w:rFonts w:ascii="Arial" w:hAnsi="Arial" w:cs="Arial"/>
          <w:lang w:eastAsia="es-ES"/>
        </w:rPr>
        <w:t xml:space="preserve"> a implantar un sistema interno de información antes del 1 de diciembre para municipios de menos de 10.000 </w:t>
      </w:r>
      <w:proofErr w:type="spellStart"/>
      <w:r w:rsidRPr="00E82C15">
        <w:rPr>
          <w:rFonts w:ascii="Arial" w:hAnsi="Arial" w:cs="Arial"/>
          <w:lang w:eastAsia="es-ES"/>
        </w:rPr>
        <w:t>hb</w:t>
      </w:r>
      <w:proofErr w:type="spellEnd"/>
      <w:r w:rsidRPr="00E82C15">
        <w:rPr>
          <w:rFonts w:ascii="Arial" w:hAnsi="Arial" w:cs="Arial"/>
          <w:lang w:eastAsia="es-ES"/>
        </w:rPr>
        <w:t>.</w:t>
      </w:r>
    </w:p>
    <w:p w14:paraId="306C0D44" w14:textId="77777777" w:rsidR="006D67C0" w:rsidRPr="00E82C15" w:rsidRDefault="006D67C0" w:rsidP="00E82C15">
      <w:pPr>
        <w:spacing w:line="276" w:lineRule="auto"/>
        <w:jc w:val="both"/>
        <w:rPr>
          <w:rFonts w:ascii="Arial" w:hAnsi="Arial" w:cs="Arial"/>
          <w:lang w:eastAsia="es-ES"/>
        </w:rPr>
      </w:pPr>
    </w:p>
    <w:p w14:paraId="7B8542BE" w14:textId="77777777" w:rsidR="00A45202" w:rsidRPr="00E82C15" w:rsidRDefault="00A45202" w:rsidP="00E82C15">
      <w:pPr>
        <w:pStyle w:val="Prrafodelista"/>
        <w:numPr>
          <w:ilvl w:val="0"/>
          <w:numId w:val="11"/>
        </w:numPr>
        <w:spacing w:after="200" w:line="276" w:lineRule="auto"/>
        <w:jc w:val="both"/>
        <w:rPr>
          <w:rFonts w:ascii="Arial" w:eastAsia="Times New Roman" w:hAnsi="Arial" w:cs="Arial"/>
        </w:rPr>
      </w:pPr>
      <w:r w:rsidRPr="00E82C15">
        <w:rPr>
          <w:rFonts w:ascii="Arial" w:eastAsia="Times New Roman" w:hAnsi="Arial" w:cs="Arial"/>
        </w:rPr>
        <w:t>Nombrar un responsable del sistema</w:t>
      </w:r>
    </w:p>
    <w:p w14:paraId="425E62AB" w14:textId="77777777" w:rsidR="00A45202" w:rsidRPr="00E82C15" w:rsidRDefault="00A45202" w:rsidP="00E82C15">
      <w:pPr>
        <w:pStyle w:val="Prrafodelista"/>
        <w:numPr>
          <w:ilvl w:val="0"/>
          <w:numId w:val="11"/>
        </w:numPr>
        <w:spacing w:after="200" w:line="276" w:lineRule="auto"/>
        <w:jc w:val="both"/>
        <w:rPr>
          <w:rFonts w:ascii="Arial" w:eastAsia="Times New Roman" w:hAnsi="Arial" w:cs="Arial"/>
        </w:rPr>
      </w:pPr>
      <w:r w:rsidRPr="00E82C15">
        <w:rPr>
          <w:rFonts w:ascii="Arial" w:eastAsia="Times New Roman" w:hAnsi="Arial" w:cs="Arial"/>
        </w:rPr>
        <w:t>Aprobar un procedimiento de gestión de informaciones</w:t>
      </w:r>
    </w:p>
    <w:p w14:paraId="14912D52" w14:textId="6A106202" w:rsidR="00A45202" w:rsidRPr="00E82C15" w:rsidRDefault="00A45202" w:rsidP="00E82C15">
      <w:pPr>
        <w:pStyle w:val="Prrafodelista"/>
        <w:numPr>
          <w:ilvl w:val="0"/>
          <w:numId w:val="11"/>
        </w:numPr>
        <w:spacing w:after="200" w:line="276" w:lineRule="auto"/>
        <w:jc w:val="both"/>
        <w:rPr>
          <w:rFonts w:ascii="Arial" w:eastAsia="Times New Roman" w:hAnsi="Arial" w:cs="Arial"/>
        </w:rPr>
      </w:pPr>
      <w:r w:rsidRPr="00E82C15">
        <w:rPr>
          <w:rFonts w:ascii="Arial" w:eastAsia="Times New Roman" w:hAnsi="Arial" w:cs="Arial"/>
        </w:rPr>
        <w:t xml:space="preserve">Desde Gestiona: </w:t>
      </w:r>
      <w:r w:rsidRPr="00E82C15">
        <w:rPr>
          <w:rFonts w:ascii="Arial" w:eastAsia="Times New Roman" w:hAnsi="Arial" w:cs="Arial"/>
          <w:u w:val="single"/>
        </w:rPr>
        <w:t>Canal de denuncias.</w:t>
      </w:r>
    </w:p>
    <w:p w14:paraId="208462B5" w14:textId="633E6592" w:rsidR="00A45202" w:rsidRPr="00E82C15" w:rsidRDefault="006D67C0" w:rsidP="00E82C15">
      <w:pPr>
        <w:shd w:val="clear" w:color="auto" w:fill="FFFFFF"/>
        <w:spacing w:after="200" w:line="276" w:lineRule="auto"/>
        <w:jc w:val="both"/>
        <w:rPr>
          <w:rFonts w:ascii="Arial" w:eastAsiaTheme="minorEastAsia" w:hAnsi="Arial" w:cs="Arial"/>
          <w:lang w:val="es-ES_tradnl"/>
        </w:rPr>
      </w:pPr>
      <w:r w:rsidRPr="00E82C15">
        <w:rPr>
          <w:rFonts w:ascii="Arial" w:eastAsiaTheme="minorEastAsia" w:hAnsi="Arial" w:cs="Arial"/>
          <w:lang w:val="es-ES_tradnl"/>
        </w:rPr>
        <w:t>En circular de 17 de ju</w:t>
      </w:r>
      <w:r w:rsidR="0086282D" w:rsidRPr="00E82C15">
        <w:rPr>
          <w:rFonts w:ascii="Arial" w:eastAsiaTheme="minorEastAsia" w:hAnsi="Arial" w:cs="Arial"/>
          <w:lang w:val="es-ES_tradnl"/>
        </w:rPr>
        <w:t>l</w:t>
      </w:r>
      <w:r w:rsidRPr="00E82C15">
        <w:rPr>
          <w:rFonts w:ascii="Arial" w:eastAsiaTheme="minorEastAsia" w:hAnsi="Arial" w:cs="Arial"/>
          <w:lang w:val="es-ES_tradnl"/>
        </w:rPr>
        <w:t xml:space="preserve">io de 2022, se remitió informe más detallado sobre el contenido y las obligaciones </w:t>
      </w:r>
      <w:r w:rsidR="004B4906" w:rsidRPr="00E82C15">
        <w:rPr>
          <w:rFonts w:ascii="Arial" w:eastAsiaTheme="minorEastAsia" w:hAnsi="Arial" w:cs="Arial"/>
          <w:lang w:val="es-ES_tradnl"/>
        </w:rPr>
        <w:t xml:space="preserve">que implica su cumplimiento para las entidades locales, junto con modelos tipo </w:t>
      </w:r>
      <w:r w:rsidR="00F516D1" w:rsidRPr="00E82C15">
        <w:rPr>
          <w:rFonts w:ascii="Arial" w:eastAsiaTheme="minorEastAsia" w:hAnsi="Arial" w:cs="Arial"/>
          <w:lang w:val="es-ES_tradnl"/>
        </w:rPr>
        <w:t xml:space="preserve">de acuerdo municipal para la implantación del sistema interno de información y nombramiento de responsable del </w:t>
      </w:r>
      <w:proofErr w:type="gramStart"/>
      <w:r w:rsidR="00F516D1" w:rsidRPr="00E82C15">
        <w:rPr>
          <w:rFonts w:ascii="Arial" w:eastAsiaTheme="minorEastAsia" w:hAnsi="Arial" w:cs="Arial"/>
          <w:lang w:val="es-ES_tradnl"/>
        </w:rPr>
        <w:t>sistema</w:t>
      </w:r>
      <w:proofErr w:type="gramEnd"/>
      <w:r w:rsidR="00F516D1" w:rsidRPr="00E82C15">
        <w:rPr>
          <w:rFonts w:ascii="Arial" w:eastAsiaTheme="minorEastAsia" w:hAnsi="Arial" w:cs="Arial"/>
          <w:lang w:val="es-ES_tradnl"/>
        </w:rPr>
        <w:t xml:space="preserve"> así como modelo de procedimiento de gestión de informaciones</w:t>
      </w:r>
      <w:r w:rsidR="004B4906" w:rsidRPr="00E82C15">
        <w:rPr>
          <w:rFonts w:ascii="Arial" w:eastAsiaTheme="minorEastAsia" w:hAnsi="Arial" w:cs="Arial"/>
          <w:lang w:val="es-ES_tradnl"/>
        </w:rPr>
        <w:t>.</w:t>
      </w:r>
    </w:p>
    <w:p w14:paraId="33613915" w14:textId="77777777" w:rsidR="00A45202" w:rsidRPr="00E82C15" w:rsidRDefault="00A45202" w:rsidP="00E82C15">
      <w:pPr>
        <w:pStyle w:val="Default"/>
        <w:spacing w:line="276" w:lineRule="auto"/>
        <w:jc w:val="both"/>
        <w:rPr>
          <w:rFonts w:ascii="Arial" w:hAnsi="Arial" w:cs="Arial"/>
          <w:lang w:val="es-ES"/>
        </w:rPr>
      </w:pPr>
    </w:p>
    <w:p w14:paraId="33D7A449" w14:textId="4A7B44B3" w:rsidR="00A45202" w:rsidRPr="00E82C15" w:rsidRDefault="00A45202" w:rsidP="00E82C15">
      <w:pPr>
        <w:pStyle w:val="Default"/>
        <w:spacing w:line="276" w:lineRule="auto"/>
        <w:jc w:val="both"/>
        <w:rPr>
          <w:rFonts w:ascii="Arial" w:hAnsi="Arial" w:cs="Arial"/>
          <w:b/>
          <w:bCs/>
        </w:rPr>
      </w:pPr>
      <w:r w:rsidRPr="00E82C15">
        <w:rPr>
          <w:rFonts w:ascii="Arial" w:hAnsi="Arial" w:cs="Arial"/>
          <w:b/>
          <w:bCs/>
          <w:color w:val="365F91"/>
          <w:lang w:eastAsia="es-ES_tradnl"/>
        </w:rPr>
        <w:t>ORDEN HFP/1193/2023, de 31 de octubre,</w:t>
      </w:r>
      <w:r w:rsidRPr="00E82C15">
        <w:rPr>
          <w:rFonts w:ascii="Arial" w:hAnsi="Arial" w:cs="Arial"/>
          <w:color w:val="365F91"/>
          <w:lang w:eastAsia="es-ES_tradnl"/>
        </w:rPr>
        <w:t xml:space="preserve"> por la que se deroga la orden de 5 de junio de 2001, por la que se aclara la inclusión del impuesto sobre construcciones, instalaciones y obras en la letra b) del apartado 1 del artículo </w:t>
      </w:r>
      <w:proofErr w:type="spellStart"/>
      <w:r w:rsidRPr="00E82C15">
        <w:rPr>
          <w:rFonts w:ascii="Arial" w:hAnsi="Arial" w:cs="Arial"/>
          <w:color w:val="365F91"/>
          <w:lang w:eastAsia="es-ES_tradnl"/>
        </w:rPr>
        <w:t>iv</w:t>
      </w:r>
      <w:proofErr w:type="spellEnd"/>
      <w:r w:rsidRPr="00E82C15">
        <w:rPr>
          <w:rFonts w:ascii="Arial" w:hAnsi="Arial" w:cs="Arial"/>
          <w:color w:val="365F91"/>
          <w:lang w:eastAsia="es-ES_tradnl"/>
        </w:rPr>
        <w:t xml:space="preserve"> del acuerdo entre el estado español y la santa sede sobre asuntos económicos, de 3 de enero de 1979. </w:t>
      </w:r>
    </w:p>
    <w:p w14:paraId="72C64D32" w14:textId="4A2A96D5" w:rsidR="00A45202" w:rsidRDefault="00000000" w:rsidP="00E82C15">
      <w:pPr>
        <w:pStyle w:val="Default"/>
        <w:spacing w:line="276" w:lineRule="auto"/>
        <w:jc w:val="both"/>
        <w:rPr>
          <w:rFonts w:ascii="Arial" w:hAnsi="Arial" w:cs="Arial"/>
        </w:rPr>
      </w:pPr>
      <w:hyperlink r:id="rId11" w:history="1">
        <w:r w:rsidR="00E82C15" w:rsidRPr="00093AC4">
          <w:rPr>
            <w:rStyle w:val="Hipervnculo"/>
            <w:rFonts w:ascii="Arial" w:hAnsi="Arial" w:cs="Arial"/>
          </w:rPr>
          <w:t>https://www.boe.es/buscar/doc.php?id=BOE-A-2023-22498</w:t>
        </w:r>
      </w:hyperlink>
    </w:p>
    <w:p w14:paraId="3C8C7EB6" w14:textId="49C3CD11" w:rsidR="00A45202" w:rsidRDefault="00A45202" w:rsidP="00E82C15">
      <w:pPr>
        <w:shd w:val="clear" w:color="auto" w:fill="FFFFFF"/>
        <w:spacing w:before="180" w:after="180" w:line="276" w:lineRule="auto"/>
        <w:jc w:val="both"/>
        <w:rPr>
          <w:rFonts w:ascii="Arial" w:hAnsi="Arial" w:cs="Arial"/>
          <w:color w:val="000000"/>
        </w:rPr>
      </w:pPr>
      <w:r w:rsidRPr="00E82C15">
        <w:rPr>
          <w:rFonts w:ascii="Arial" w:hAnsi="Arial" w:cs="Arial"/>
          <w:color w:val="000000"/>
        </w:rPr>
        <w:t xml:space="preserve">Se deroga, en artículo único, la Orden del Ministerio de Hacienda de 5 de junio de 2001, por la que se aclara la inclusión del Impuesto sobre Construcciones, Instalaciones y Obras en la letra B) del apartado 1 del artículo IV del Acuerdo entre </w:t>
      </w:r>
      <w:r w:rsidRPr="00E82C15">
        <w:rPr>
          <w:rFonts w:ascii="Arial" w:hAnsi="Arial" w:cs="Arial"/>
          <w:color w:val="000000"/>
        </w:rPr>
        <w:lastRenderedPageBreak/>
        <w:t>el Estado Español y la Santa Sede sobre Asuntos Económicos, de 3 de enero de 1979.</w:t>
      </w:r>
    </w:p>
    <w:p w14:paraId="65FCCAA0" w14:textId="77777777" w:rsidR="007B070C" w:rsidRPr="00E82C15" w:rsidRDefault="007B070C" w:rsidP="00E82C15">
      <w:pPr>
        <w:shd w:val="clear" w:color="auto" w:fill="FFFFFF"/>
        <w:spacing w:before="180" w:after="180" w:line="276" w:lineRule="auto"/>
        <w:jc w:val="both"/>
        <w:rPr>
          <w:rFonts w:ascii="Arial" w:hAnsi="Arial" w:cs="Arial"/>
          <w:color w:val="000000"/>
        </w:rPr>
      </w:pPr>
    </w:p>
    <w:p w14:paraId="305814D6" w14:textId="77777777" w:rsidR="00A45202" w:rsidRDefault="00A45202" w:rsidP="00E82C15">
      <w:pPr>
        <w:shd w:val="clear" w:color="auto" w:fill="FFFFFF"/>
        <w:spacing w:after="220" w:line="276" w:lineRule="auto"/>
        <w:jc w:val="both"/>
        <w:rPr>
          <w:rFonts w:ascii="Arial" w:hAnsi="Arial" w:cs="Arial"/>
          <w:color w:val="365F91"/>
        </w:rPr>
      </w:pPr>
      <w:r w:rsidRPr="00E82C15">
        <w:rPr>
          <w:rFonts w:ascii="Arial" w:hAnsi="Arial" w:cs="Arial"/>
          <w:b/>
          <w:bCs/>
          <w:color w:val="365F91"/>
        </w:rPr>
        <w:t>REAL DECRETO LEY 6/2023, de 19 de diciembre, </w:t>
      </w:r>
      <w:r w:rsidRPr="00E82C15">
        <w:rPr>
          <w:rFonts w:ascii="Arial" w:hAnsi="Arial" w:cs="Arial"/>
          <w:color w:val="365F91"/>
        </w:rPr>
        <w:t>por el que se aprueban medidas urgentes para la ejecución del Plan de Recuperación, Transformación y Resiliencia en materia de servicio público de justicia, función pública, régimen local y mecenazgo.</w:t>
      </w:r>
    </w:p>
    <w:p w14:paraId="6A8CA79B" w14:textId="0BED694F" w:rsidR="00EA1517" w:rsidRDefault="00000000" w:rsidP="00E82C15">
      <w:pPr>
        <w:shd w:val="clear" w:color="auto" w:fill="FFFFFF"/>
        <w:spacing w:after="220" w:line="276" w:lineRule="auto"/>
        <w:jc w:val="both"/>
        <w:rPr>
          <w:rFonts w:ascii="Arial" w:hAnsi="Arial" w:cs="Arial"/>
          <w:color w:val="222222"/>
        </w:rPr>
      </w:pPr>
      <w:hyperlink r:id="rId12" w:history="1">
        <w:r w:rsidR="00EA1517" w:rsidRPr="00093AC4">
          <w:rPr>
            <w:rStyle w:val="Hipervnculo"/>
            <w:rFonts w:ascii="Arial" w:hAnsi="Arial" w:cs="Arial"/>
          </w:rPr>
          <w:t>https://www.boe.es/buscar/doc.php?id=BOE-A-2024-665</w:t>
        </w:r>
      </w:hyperlink>
    </w:p>
    <w:p w14:paraId="0B54E98D" w14:textId="77777777" w:rsidR="007B070C" w:rsidRDefault="00A45202" w:rsidP="007B070C">
      <w:pPr>
        <w:shd w:val="clear" w:color="auto" w:fill="FFFFFF"/>
        <w:spacing w:line="276" w:lineRule="auto"/>
        <w:jc w:val="both"/>
        <w:rPr>
          <w:rFonts w:ascii="Arial" w:hAnsi="Arial" w:cs="Arial"/>
          <w:color w:val="000000"/>
        </w:rPr>
      </w:pPr>
      <w:r w:rsidRPr="00E82C15">
        <w:rPr>
          <w:rFonts w:ascii="Arial" w:hAnsi="Arial" w:cs="Arial"/>
          <w:color w:val="000000"/>
        </w:rPr>
        <w:t>En el BOE de fecha 12 de enero de 2024, se ha publicado la Resolución de 10 de enero de 2024, de convalidación del Real Decreto Ley 6/2023, de 19 de diciembre, (BOE 20 diciembre de 2023) por el que se aprueban medidas urgentes para la ejecución del Plan de Recuperación, Transformación y Resiliencia en materia de servicio público de justicia, función pública, régimen local y mecenazgo.</w:t>
      </w:r>
      <w:r w:rsidR="007B070C" w:rsidRPr="007B070C">
        <w:rPr>
          <w:rFonts w:ascii="Arial" w:hAnsi="Arial" w:cs="Arial"/>
          <w:color w:val="000000"/>
        </w:rPr>
        <w:t xml:space="preserve"> </w:t>
      </w:r>
    </w:p>
    <w:p w14:paraId="664F3414" w14:textId="77777777" w:rsidR="007B070C" w:rsidRDefault="007B070C" w:rsidP="007B070C">
      <w:pPr>
        <w:shd w:val="clear" w:color="auto" w:fill="FFFFFF"/>
        <w:spacing w:line="276" w:lineRule="auto"/>
        <w:jc w:val="both"/>
        <w:rPr>
          <w:rFonts w:ascii="Arial" w:hAnsi="Arial" w:cs="Arial"/>
          <w:color w:val="000000"/>
        </w:rPr>
      </w:pPr>
    </w:p>
    <w:p w14:paraId="3B860634" w14:textId="53906A6A" w:rsidR="007B070C" w:rsidRDefault="007B070C" w:rsidP="007B070C">
      <w:pPr>
        <w:shd w:val="clear" w:color="auto" w:fill="FFFFFF"/>
        <w:spacing w:line="276" w:lineRule="auto"/>
        <w:jc w:val="both"/>
        <w:rPr>
          <w:rFonts w:ascii="Arial" w:hAnsi="Arial" w:cs="Arial"/>
          <w:color w:val="000000"/>
        </w:rPr>
      </w:pPr>
      <w:r>
        <w:rPr>
          <w:rFonts w:ascii="Arial" w:hAnsi="Arial" w:cs="Arial"/>
          <w:color w:val="000000"/>
        </w:rPr>
        <w:t>Se estructura en 4 libros:</w:t>
      </w:r>
    </w:p>
    <w:p w14:paraId="1FA8D714" w14:textId="77777777" w:rsidR="007B070C" w:rsidRDefault="007B070C" w:rsidP="007B070C">
      <w:pPr>
        <w:shd w:val="clear" w:color="auto" w:fill="FFFFFF"/>
        <w:spacing w:line="276" w:lineRule="auto"/>
        <w:jc w:val="both"/>
        <w:rPr>
          <w:rFonts w:ascii="Arial" w:hAnsi="Arial" w:cs="Arial"/>
          <w:color w:val="000000"/>
        </w:rPr>
      </w:pPr>
      <w:r>
        <w:rPr>
          <w:rFonts w:ascii="Arial" w:hAnsi="Arial" w:cs="Arial"/>
          <w:color w:val="000000"/>
        </w:rPr>
        <w:t>Libro I. Administración de Justicia</w:t>
      </w:r>
    </w:p>
    <w:p w14:paraId="2B4FDA1B" w14:textId="77777777" w:rsidR="007B070C" w:rsidRDefault="007B070C" w:rsidP="007B070C">
      <w:pPr>
        <w:shd w:val="clear" w:color="auto" w:fill="FFFFFF"/>
        <w:spacing w:line="276" w:lineRule="auto"/>
        <w:jc w:val="both"/>
        <w:rPr>
          <w:rFonts w:ascii="Arial" w:hAnsi="Arial" w:cs="Arial"/>
          <w:color w:val="000000"/>
        </w:rPr>
      </w:pPr>
      <w:r>
        <w:rPr>
          <w:rFonts w:ascii="Arial" w:hAnsi="Arial" w:cs="Arial"/>
          <w:color w:val="000000"/>
        </w:rPr>
        <w:t>Libro II. Medidas legislativas de reforma de la función pública</w:t>
      </w:r>
    </w:p>
    <w:p w14:paraId="316F0E5C" w14:textId="77777777" w:rsidR="007B070C" w:rsidRDefault="007B070C" w:rsidP="007B070C">
      <w:pPr>
        <w:shd w:val="clear" w:color="auto" w:fill="FFFFFF"/>
        <w:spacing w:line="276" w:lineRule="auto"/>
        <w:jc w:val="both"/>
        <w:rPr>
          <w:rFonts w:ascii="Arial" w:hAnsi="Arial" w:cs="Arial"/>
          <w:color w:val="000000"/>
        </w:rPr>
      </w:pPr>
      <w:r>
        <w:rPr>
          <w:rFonts w:ascii="Arial" w:hAnsi="Arial" w:cs="Arial"/>
          <w:color w:val="000000"/>
        </w:rPr>
        <w:t>Libro III. Modificación LRBRL</w:t>
      </w:r>
    </w:p>
    <w:p w14:paraId="0C869D04" w14:textId="77777777" w:rsidR="007B070C" w:rsidRPr="0000450E" w:rsidRDefault="007B070C" w:rsidP="007B070C">
      <w:pPr>
        <w:shd w:val="clear" w:color="auto" w:fill="FFFFFF"/>
        <w:spacing w:line="276" w:lineRule="auto"/>
        <w:jc w:val="both"/>
        <w:rPr>
          <w:rFonts w:ascii="Arial" w:hAnsi="Arial" w:cs="Arial"/>
          <w:color w:val="222222"/>
        </w:rPr>
      </w:pPr>
      <w:r>
        <w:rPr>
          <w:rFonts w:ascii="Arial" w:hAnsi="Arial" w:cs="Arial"/>
          <w:color w:val="000000"/>
        </w:rPr>
        <w:t>Libro IV. Mejora de regulación de mecenazgo y beneficios fiscales.</w:t>
      </w:r>
    </w:p>
    <w:p w14:paraId="5837DEE0" w14:textId="77777777" w:rsidR="007B070C" w:rsidRDefault="007B070C" w:rsidP="00E82C15">
      <w:pPr>
        <w:shd w:val="clear" w:color="auto" w:fill="FFFFFF"/>
        <w:spacing w:after="220" w:line="276" w:lineRule="auto"/>
        <w:jc w:val="both"/>
        <w:rPr>
          <w:rFonts w:ascii="Arial" w:hAnsi="Arial" w:cs="Arial"/>
          <w:color w:val="000000"/>
        </w:rPr>
      </w:pPr>
    </w:p>
    <w:p w14:paraId="0AA756CF" w14:textId="11CF4933" w:rsidR="00A45202" w:rsidRPr="00E82C15" w:rsidRDefault="00A45202" w:rsidP="00E82C15">
      <w:pPr>
        <w:shd w:val="clear" w:color="auto" w:fill="FFFFFF"/>
        <w:spacing w:after="220" w:line="276" w:lineRule="auto"/>
        <w:jc w:val="both"/>
        <w:rPr>
          <w:rFonts w:ascii="Arial" w:hAnsi="Arial" w:cs="Arial"/>
          <w:color w:val="222222"/>
        </w:rPr>
      </w:pPr>
      <w:r w:rsidRPr="00E82C15">
        <w:rPr>
          <w:rFonts w:ascii="Arial" w:hAnsi="Arial" w:cs="Arial"/>
          <w:color w:val="000000"/>
        </w:rPr>
        <w:t>Destacamos de su contenido y en lo que afecta a las entidades locales, la modificación, en su artículo 128, de la Ley 7/1985, reguladora de las bases del régimen local, con el objetivo de contribuir al cumplimiento de los objetivos del hito número 147 del PRTR.</w:t>
      </w:r>
    </w:p>
    <w:p w14:paraId="08B4E279" w14:textId="77777777" w:rsidR="00A45202" w:rsidRPr="00E82C15" w:rsidRDefault="00A45202" w:rsidP="00E82C15">
      <w:pPr>
        <w:pStyle w:val="NormalWeb"/>
        <w:shd w:val="clear" w:color="auto" w:fill="FFFFFF"/>
        <w:spacing w:before="0" w:beforeAutospacing="0" w:after="150" w:afterAutospacing="0" w:line="276" w:lineRule="auto"/>
        <w:jc w:val="both"/>
        <w:rPr>
          <w:rFonts w:ascii="Arial" w:hAnsi="Arial" w:cs="Arial"/>
          <w:color w:val="222222"/>
          <w:sz w:val="24"/>
          <w:szCs w:val="24"/>
        </w:rPr>
      </w:pPr>
      <w:r w:rsidRPr="00E82C15">
        <w:rPr>
          <w:rFonts w:ascii="Arial" w:hAnsi="Arial" w:cs="Arial"/>
          <w:color w:val="000000"/>
          <w:sz w:val="24"/>
          <w:szCs w:val="24"/>
        </w:rPr>
        <w:t>En particular, se ven afectados los siguientes preceptos:</w:t>
      </w:r>
    </w:p>
    <w:p w14:paraId="1E60ECBD" w14:textId="77777777" w:rsidR="00A45202" w:rsidRPr="00E82C15" w:rsidRDefault="00A45202" w:rsidP="00E82C15">
      <w:pPr>
        <w:pStyle w:val="NormalWeb"/>
        <w:shd w:val="clear" w:color="auto" w:fill="FFFFFF"/>
        <w:spacing w:before="0" w:beforeAutospacing="0" w:after="150" w:afterAutospacing="0" w:line="276" w:lineRule="auto"/>
        <w:jc w:val="both"/>
        <w:rPr>
          <w:rFonts w:ascii="Arial" w:hAnsi="Arial" w:cs="Arial"/>
          <w:color w:val="222222"/>
          <w:sz w:val="24"/>
          <w:szCs w:val="24"/>
        </w:rPr>
      </w:pPr>
      <w:r w:rsidRPr="00E82C15">
        <w:rPr>
          <w:rFonts w:ascii="Arial" w:hAnsi="Arial" w:cs="Arial"/>
          <w:color w:val="000000"/>
          <w:sz w:val="24"/>
          <w:szCs w:val="24"/>
        </w:rPr>
        <w:t>• </w:t>
      </w:r>
      <w:hyperlink r:id="rId13" w:anchor="a13" w:tgtFrame="_blank" w:history="1">
        <w:r w:rsidRPr="00E82C15">
          <w:rPr>
            <w:rStyle w:val="Hipervnculo"/>
            <w:rFonts w:ascii="Arial" w:hAnsi="Arial" w:cs="Arial"/>
            <w:b/>
            <w:bCs/>
            <w:i/>
            <w:iCs/>
            <w:color w:val="365F91"/>
            <w:sz w:val="24"/>
            <w:szCs w:val="24"/>
          </w:rPr>
          <w:t>Artículo 13.2.</w:t>
        </w:r>
      </w:hyperlink>
      <w:r w:rsidRPr="00E82C15">
        <w:rPr>
          <w:rFonts w:ascii="Arial" w:hAnsi="Arial" w:cs="Arial"/>
          <w:b/>
          <w:bCs/>
          <w:i/>
          <w:iCs/>
          <w:color w:val="365F91"/>
          <w:sz w:val="24"/>
          <w:szCs w:val="24"/>
        </w:rPr>
        <w:t> Creación de nuevos municipios.</w:t>
      </w:r>
      <w:r w:rsidRPr="00E82C15">
        <w:rPr>
          <w:rFonts w:ascii="Arial" w:hAnsi="Arial" w:cs="Arial"/>
          <w:color w:val="365F91"/>
          <w:sz w:val="24"/>
          <w:szCs w:val="24"/>
        </w:rPr>
        <w:t> </w:t>
      </w:r>
      <w:r w:rsidRPr="00E82C15">
        <w:rPr>
          <w:rFonts w:ascii="Arial" w:hAnsi="Arial" w:cs="Arial"/>
          <w:color w:val="000000"/>
          <w:sz w:val="24"/>
          <w:szCs w:val="24"/>
        </w:rPr>
        <w:t>Se reduce el número mínimo de habitantes para proceder a la creación de nuevos municipios, siempre que los municipios resultantes sean financieramente sostenibles, cuenten con recursos suficientes para el cumplimiento de las competencias municipales y no suponga disminución en la calidad de los servicios que venían siendo prestados</w:t>
      </w:r>
    </w:p>
    <w:p w14:paraId="0766CBA8" w14:textId="77777777" w:rsidR="00A45202" w:rsidRPr="00E82C15" w:rsidRDefault="00A45202" w:rsidP="00E82C15">
      <w:pPr>
        <w:pStyle w:val="NormalWeb"/>
        <w:shd w:val="clear" w:color="auto" w:fill="FFFFFF"/>
        <w:spacing w:before="0" w:beforeAutospacing="0" w:after="150" w:afterAutospacing="0" w:line="276" w:lineRule="auto"/>
        <w:jc w:val="both"/>
        <w:rPr>
          <w:rFonts w:ascii="Arial" w:hAnsi="Arial" w:cs="Arial"/>
          <w:color w:val="222222"/>
          <w:sz w:val="24"/>
          <w:szCs w:val="24"/>
        </w:rPr>
      </w:pPr>
      <w:r w:rsidRPr="00E82C15">
        <w:rPr>
          <w:rFonts w:ascii="Arial" w:hAnsi="Arial" w:cs="Arial"/>
          <w:color w:val="000000"/>
          <w:sz w:val="24"/>
          <w:szCs w:val="24"/>
        </w:rPr>
        <w:t>• </w:t>
      </w:r>
      <w:hyperlink r:id="rId14" w:anchor="a16" w:tgtFrame="_blank" w:history="1">
        <w:r w:rsidRPr="00E82C15">
          <w:rPr>
            <w:rStyle w:val="Hipervnculo"/>
            <w:rFonts w:ascii="Arial" w:hAnsi="Arial" w:cs="Arial"/>
            <w:b/>
            <w:bCs/>
            <w:i/>
            <w:iCs/>
            <w:color w:val="365F91"/>
            <w:sz w:val="24"/>
            <w:szCs w:val="24"/>
          </w:rPr>
          <w:t>Artículo 16</w:t>
        </w:r>
      </w:hyperlink>
      <w:r w:rsidRPr="00E82C15">
        <w:rPr>
          <w:rFonts w:ascii="Arial" w:hAnsi="Arial" w:cs="Arial"/>
          <w:b/>
          <w:bCs/>
          <w:i/>
          <w:iCs/>
          <w:color w:val="365F91"/>
          <w:sz w:val="24"/>
          <w:szCs w:val="24"/>
        </w:rPr>
        <w:t>. Padrón municipal de habitantes.</w:t>
      </w:r>
      <w:r w:rsidRPr="00E82C15">
        <w:rPr>
          <w:rFonts w:ascii="Arial" w:hAnsi="Arial" w:cs="Arial"/>
          <w:color w:val="000000"/>
          <w:sz w:val="24"/>
          <w:szCs w:val="24"/>
        </w:rPr>
        <w:t xml:space="preserve"> Actualiza los datos obligatorios que deben constar en la inscripción de conformidad con la normativa en materia de extranjería e incluye como dato obligatorio el domicilio habitual, con especificación de la referencia catastral, en el territorio fiscal común o el código equivalente en los </w:t>
      </w:r>
      <w:r w:rsidRPr="00E82C15">
        <w:rPr>
          <w:rFonts w:ascii="Arial" w:hAnsi="Arial" w:cs="Arial"/>
          <w:color w:val="000000"/>
          <w:sz w:val="24"/>
          <w:szCs w:val="24"/>
        </w:rPr>
        <w:lastRenderedPageBreak/>
        <w:t>territorios forales, siempre que el domicilio cuente con referencia catastral o código equivalente</w:t>
      </w:r>
    </w:p>
    <w:p w14:paraId="0D9F99F7" w14:textId="77777777" w:rsidR="00A45202" w:rsidRPr="00E82C15" w:rsidRDefault="00A45202" w:rsidP="00E82C15">
      <w:pPr>
        <w:pStyle w:val="NormalWeb"/>
        <w:shd w:val="clear" w:color="auto" w:fill="FFFFFF"/>
        <w:spacing w:before="0" w:beforeAutospacing="0" w:after="150" w:afterAutospacing="0" w:line="276" w:lineRule="auto"/>
        <w:jc w:val="both"/>
        <w:rPr>
          <w:rFonts w:ascii="Arial" w:hAnsi="Arial" w:cs="Arial"/>
          <w:color w:val="222222"/>
          <w:sz w:val="24"/>
          <w:szCs w:val="24"/>
        </w:rPr>
      </w:pPr>
      <w:r w:rsidRPr="00E82C15">
        <w:rPr>
          <w:rFonts w:ascii="Arial" w:hAnsi="Arial" w:cs="Arial"/>
          <w:color w:val="000000"/>
          <w:sz w:val="24"/>
          <w:szCs w:val="24"/>
        </w:rPr>
        <w:t>• </w:t>
      </w:r>
      <w:hyperlink r:id="rId15" w:anchor="a17" w:tgtFrame="_blank" w:history="1">
        <w:r w:rsidRPr="00E82C15">
          <w:rPr>
            <w:rStyle w:val="Hipervnculo"/>
            <w:rFonts w:ascii="Arial" w:hAnsi="Arial" w:cs="Arial"/>
            <w:b/>
            <w:bCs/>
            <w:i/>
            <w:iCs/>
            <w:color w:val="365F91"/>
            <w:sz w:val="24"/>
            <w:szCs w:val="24"/>
          </w:rPr>
          <w:t>Artículo 17</w:t>
        </w:r>
      </w:hyperlink>
      <w:r w:rsidRPr="00E82C15">
        <w:rPr>
          <w:rFonts w:ascii="Arial" w:hAnsi="Arial" w:cs="Arial"/>
          <w:b/>
          <w:bCs/>
          <w:i/>
          <w:iCs/>
          <w:color w:val="365F91"/>
          <w:sz w:val="24"/>
          <w:szCs w:val="24"/>
        </w:rPr>
        <w:t>, apartados 1º, 3º y 4º a).</w:t>
      </w:r>
      <w:r w:rsidRPr="00E82C15">
        <w:rPr>
          <w:rFonts w:ascii="Arial" w:hAnsi="Arial" w:cs="Arial"/>
          <w:color w:val="000000"/>
          <w:sz w:val="24"/>
          <w:szCs w:val="24"/>
        </w:rPr>
        <w:t> </w:t>
      </w:r>
      <w:r w:rsidRPr="00E82C15">
        <w:rPr>
          <w:rFonts w:ascii="Arial" w:hAnsi="Arial" w:cs="Arial"/>
          <w:b/>
          <w:bCs/>
          <w:i/>
          <w:iCs/>
          <w:color w:val="365F91"/>
          <w:sz w:val="24"/>
          <w:szCs w:val="24"/>
        </w:rPr>
        <w:t>Gestión del padrón municipal de habitantes, </w:t>
      </w:r>
      <w:r w:rsidRPr="00E82C15">
        <w:rPr>
          <w:rFonts w:ascii="Arial" w:hAnsi="Arial" w:cs="Arial"/>
          <w:color w:val="000000"/>
          <w:sz w:val="24"/>
          <w:szCs w:val="24"/>
        </w:rPr>
        <w:t>que se llevará por los Ayuntamientos en todo caso, con medios informáticos. Las Diputaciones Provinciales o entidades equivalentes, Cabildos y Consejos insulares asumirán la gestión informatizada de los Padrones de los municipios que, por su insuficiente capacidad económica y de gestión, no puedan mantener los datos de forma automatizada.</w:t>
      </w:r>
    </w:p>
    <w:p w14:paraId="3EE25978" w14:textId="77777777" w:rsidR="00A45202" w:rsidRPr="00E82C15" w:rsidRDefault="00A45202" w:rsidP="00E82C15">
      <w:pPr>
        <w:pStyle w:val="NormalWeb"/>
        <w:shd w:val="clear" w:color="auto" w:fill="FFFFFF"/>
        <w:spacing w:before="0" w:beforeAutospacing="0" w:after="150" w:afterAutospacing="0" w:line="276" w:lineRule="auto"/>
        <w:jc w:val="both"/>
        <w:rPr>
          <w:rFonts w:ascii="Arial" w:hAnsi="Arial" w:cs="Arial"/>
          <w:color w:val="222222"/>
          <w:sz w:val="24"/>
          <w:szCs w:val="24"/>
        </w:rPr>
      </w:pPr>
      <w:r w:rsidRPr="00E82C15">
        <w:rPr>
          <w:rFonts w:ascii="Arial" w:hAnsi="Arial" w:cs="Arial"/>
          <w:color w:val="000000"/>
          <w:sz w:val="24"/>
          <w:szCs w:val="24"/>
        </w:rPr>
        <w:t>• </w:t>
      </w:r>
      <w:hyperlink r:id="rId16" w:anchor="a25" w:tgtFrame="_blank" w:history="1">
        <w:r w:rsidRPr="00E82C15">
          <w:rPr>
            <w:rStyle w:val="Hipervnculo"/>
            <w:rFonts w:ascii="Arial" w:hAnsi="Arial" w:cs="Arial"/>
            <w:b/>
            <w:bCs/>
            <w:i/>
            <w:iCs/>
            <w:color w:val="365F91"/>
            <w:sz w:val="24"/>
            <w:szCs w:val="24"/>
          </w:rPr>
          <w:t>Artículo 25</w:t>
        </w:r>
      </w:hyperlink>
      <w:r w:rsidRPr="00E82C15">
        <w:rPr>
          <w:rFonts w:ascii="Arial" w:hAnsi="Arial" w:cs="Arial"/>
          <w:b/>
          <w:bCs/>
          <w:i/>
          <w:iCs/>
          <w:color w:val="365F91"/>
          <w:sz w:val="24"/>
          <w:szCs w:val="24"/>
        </w:rPr>
        <w:t>, apartado 6º. Atribución de competencias municipales.</w:t>
      </w:r>
      <w:r w:rsidRPr="00E82C15">
        <w:rPr>
          <w:rFonts w:ascii="Arial" w:hAnsi="Arial" w:cs="Arial"/>
          <w:color w:val="000000"/>
          <w:sz w:val="24"/>
          <w:szCs w:val="24"/>
        </w:rPr>
        <w:t> Establece el principio de diferenciación de atribución de competencias, al prever este nuevo apartado que, con carácter previo a la atribución de competencias a los municipios, de acuerdo con el principio de diferenciación, deberá realizarse una ponderación específica de la capacidad de gestión de la entidad local, dejando constancia de tal ponderación en la motivación del instrumento jurídico que realice la atribución competencial, ya sea en su parte expositiva o en la memoria justificativa correspondiente.</w:t>
      </w:r>
    </w:p>
    <w:p w14:paraId="0C8F280A" w14:textId="63943C4D" w:rsidR="00A45202" w:rsidRPr="00E82C15" w:rsidRDefault="00A45202" w:rsidP="00E82C15">
      <w:pPr>
        <w:pStyle w:val="NormalWeb"/>
        <w:shd w:val="clear" w:color="auto" w:fill="FFFFFF"/>
        <w:spacing w:before="0" w:beforeAutospacing="0" w:after="150" w:afterAutospacing="0" w:line="276" w:lineRule="auto"/>
        <w:jc w:val="both"/>
        <w:rPr>
          <w:rFonts w:ascii="Arial" w:hAnsi="Arial" w:cs="Arial"/>
          <w:color w:val="222222"/>
          <w:sz w:val="24"/>
          <w:szCs w:val="24"/>
        </w:rPr>
      </w:pPr>
      <w:r w:rsidRPr="00E82C15">
        <w:rPr>
          <w:rFonts w:ascii="Arial" w:hAnsi="Arial" w:cs="Arial"/>
          <w:color w:val="000000"/>
          <w:sz w:val="24"/>
          <w:szCs w:val="24"/>
        </w:rPr>
        <w:t>• </w:t>
      </w:r>
      <w:r w:rsidRPr="00E82C15">
        <w:rPr>
          <w:rFonts w:ascii="Arial" w:hAnsi="Arial" w:cs="Arial"/>
          <w:b/>
          <w:bCs/>
          <w:i/>
          <w:iCs/>
          <w:color w:val="365F91"/>
          <w:sz w:val="24"/>
          <w:szCs w:val="24"/>
        </w:rPr>
        <w:t>Artículo 28 (nuevo).</w:t>
      </w:r>
      <w:r w:rsidRPr="00E82C15">
        <w:rPr>
          <w:rFonts w:ascii="Arial" w:hAnsi="Arial" w:cs="Arial"/>
          <w:color w:val="000000"/>
          <w:sz w:val="24"/>
          <w:szCs w:val="24"/>
        </w:rPr>
        <w:t> </w:t>
      </w:r>
      <w:r w:rsidRPr="00E82C15">
        <w:rPr>
          <w:rFonts w:ascii="Arial" w:hAnsi="Arial" w:cs="Arial"/>
          <w:b/>
          <w:bCs/>
          <w:i/>
          <w:iCs/>
          <w:color w:val="365F91"/>
          <w:sz w:val="24"/>
          <w:szCs w:val="24"/>
        </w:rPr>
        <w:t>Sistemas de gestión colaborativa.</w:t>
      </w:r>
      <w:r w:rsidRPr="00E82C15">
        <w:rPr>
          <w:rFonts w:ascii="Arial" w:hAnsi="Arial" w:cs="Arial"/>
          <w:color w:val="000000"/>
          <w:sz w:val="24"/>
          <w:szCs w:val="24"/>
        </w:rPr>
        <w:t> Se posibilita, en municipios determinados de menos de 20.000 habitantes, la implantación de sistemas de gestión colaborativa dirigidos a garantizar los recursos suficientes para el cumplimiento de las competencias municipales y, en particular, para una prestación de calidad, financieramente sostenible, de los servicios públicos mínimos obligatorios, mediante medidas de racionalización organizativa y de funcionamiento; de garantía de la prestación de dichos servicios mediante fórmulas de gestión comunes o asociativas; de sostenimiento del personal en común con otro u otros municipios y, en general, de fomento del desarrollo económico y social de los municipios.</w:t>
      </w:r>
    </w:p>
    <w:p w14:paraId="6AFFBA22" w14:textId="77777777" w:rsidR="00A45202" w:rsidRPr="00E82C15" w:rsidRDefault="00A45202" w:rsidP="00E82C15">
      <w:pPr>
        <w:pStyle w:val="NormalWeb"/>
        <w:shd w:val="clear" w:color="auto" w:fill="FFFFFF"/>
        <w:spacing w:before="0" w:beforeAutospacing="0" w:after="150" w:afterAutospacing="0" w:line="276" w:lineRule="auto"/>
        <w:jc w:val="both"/>
        <w:rPr>
          <w:rFonts w:ascii="Arial" w:hAnsi="Arial" w:cs="Arial"/>
          <w:color w:val="222222"/>
          <w:sz w:val="24"/>
          <w:szCs w:val="24"/>
        </w:rPr>
      </w:pPr>
      <w:r w:rsidRPr="00E82C15">
        <w:rPr>
          <w:rFonts w:ascii="Arial" w:hAnsi="Arial" w:cs="Arial"/>
          <w:color w:val="000000"/>
          <w:sz w:val="24"/>
          <w:szCs w:val="24"/>
        </w:rPr>
        <w:t>En todo caso, la aplicación efectiva a un municipio de la gestión colaborativa se condiciona a la previa regulación por parte de las Comunidades Autónomas.</w:t>
      </w:r>
    </w:p>
    <w:p w14:paraId="6F949486" w14:textId="77777777" w:rsidR="00A45202" w:rsidRPr="00E82C15" w:rsidRDefault="00A45202" w:rsidP="00E82C15">
      <w:pPr>
        <w:pStyle w:val="NormalWeb"/>
        <w:shd w:val="clear" w:color="auto" w:fill="FFFFFF"/>
        <w:spacing w:before="0" w:beforeAutospacing="0" w:after="150" w:afterAutospacing="0" w:line="276" w:lineRule="auto"/>
        <w:jc w:val="both"/>
        <w:rPr>
          <w:rFonts w:ascii="Arial" w:hAnsi="Arial" w:cs="Arial"/>
          <w:color w:val="222222"/>
          <w:sz w:val="24"/>
          <w:szCs w:val="24"/>
        </w:rPr>
      </w:pPr>
      <w:r w:rsidRPr="00E82C15">
        <w:rPr>
          <w:rFonts w:ascii="Arial" w:hAnsi="Arial" w:cs="Arial"/>
          <w:color w:val="000000"/>
          <w:sz w:val="24"/>
          <w:szCs w:val="24"/>
        </w:rPr>
        <w:t>• </w:t>
      </w:r>
      <w:r w:rsidRPr="00E82C15">
        <w:rPr>
          <w:rFonts w:ascii="Arial" w:hAnsi="Arial" w:cs="Arial"/>
          <w:b/>
          <w:bCs/>
          <w:i/>
          <w:iCs/>
          <w:color w:val="365F91"/>
          <w:sz w:val="24"/>
          <w:szCs w:val="24"/>
        </w:rPr>
        <w:t xml:space="preserve">Artículo 70 </w:t>
      </w:r>
      <w:proofErr w:type="spellStart"/>
      <w:r w:rsidRPr="00E82C15">
        <w:rPr>
          <w:rFonts w:ascii="Arial" w:hAnsi="Arial" w:cs="Arial"/>
          <w:b/>
          <w:bCs/>
          <w:i/>
          <w:iCs/>
          <w:color w:val="365F91"/>
          <w:sz w:val="24"/>
          <w:szCs w:val="24"/>
        </w:rPr>
        <w:t>quater</w:t>
      </w:r>
      <w:proofErr w:type="spellEnd"/>
      <w:r w:rsidRPr="00E82C15">
        <w:rPr>
          <w:rFonts w:ascii="Arial" w:hAnsi="Arial" w:cs="Arial"/>
          <w:b/>
          <w:bCs/>
          <w:i/>
          <w:iCs/>
          <w:color w:val="365F91"/>
          <w:sz w:val="24"/>
          <w:szCs w:val="24"/>
        </w:rPr>
        <w:t>. Digitalización de los servicios públicos locales.</w:t>
      </w:r>
      <w:r w:rsidRPr="00E82C15">
        <w:rPr>
          <w:rFonts w:ascii="Arial" w:hAnsi="Arial" w:cs="Arial"/>
          <w:color w:val="000000"/>
          <w:sz w:val="24"/>
          <w:szCs w:val="24"/>
        </w:rPr>
        <w:t> Se condicionan también, a previa regulación autonómica, en el caso de los municipios de menos de 20.000 habitantes, la adopción de las medidas necesarias para facilitar la accesibilidad de los servicios públicos a los vecinos prevista en el artículo 70.</w:t>
      </w:r>
    </w:p>
    <w:p w14:paraId="3212C15B" w14:textId="77777777" w:rsidR="00A45202" w:rsidRPr="00E82C15" w:rsidRDefault="00A45202" w:rsidP="00E82C15">
      <w:pPr>
        <w:pStyle w:val="NormalWeb"/>
        <w:shd w:val="clear" w:color="auto" w:fill="FFFFFF"/>
        <w:spacing w:before="0" w:beforeAutospacing="0" w:after="150" w:afterAutospacing="0" w:line="276" w:lineRule="auto"/>
        <w:jc w:val="both"/>
        <w:rPr>
          <w:rFonts w:ascii="Arial" w:hAnsi="Arial" w:cs="Arial"/>
          <w:color w:val="222222"/>
          <w:sz w:val="24"/>
          <w:szCs w:val="24"/>
        </w:rPr>
      </w:pPr>
      <w:r w:rsidRPr="00E82C15">
        <w:rPr>
          <w:rFonts w:ascii="Arial" w:hAnsi="Arial" w:cs="Arial"/>
          <w:color w:val="000000"/>
          <w:sz w:val="24"/>
          <w:szCs w:val="24"/>
        </w:rPr>
        <w:t>• </w:t>
      </w:r>
      <w:hyperlink r:id="rId17" w:anchor="da2" w:tgtFrame="_blank" w:history="1">
        <w:r w:rsidRPr="00E82C15">
          <w:rPr>
            <w:rStyle w:val="Hipervnculo"/>
            <w:rFonts w:ascii="Arial" w:hAnsi="Arial" w:cs="Arial"/>
            <w:b/>
            <w:bCs/>
            <w:i/>
            <w:iCs/>
            <w:color w:val="365F91"/>
            <w:sz w:val="24"/>
            <w:szCs w:val="24"/>
            <w:u w:val="none"/>
          </w:rPr>
          <w:t>Disposición adicional segunda</w:t>
        </w:r>
      </w:hyperlink>
      <w:r w:rsidRPr="00E82C15">
        <w:rPr>
          <w:rFonts w:ascii="Arial" w:hAnsi="Arial" w:cs="Arial"/>
          <w:b/>
          <w:bCs/>
          <w:i/>
          <w:iCs/>
          <w:color w:val="365F91"/>
          <w:sz w:val="24"/>
          <w:szCs w:val="24"/>
        </w:rPr>
        <w:t>, apartado 7º. Régimen foral vasco</w:t>
      </w:r>
      <w:r w:rsidRPr="00E82C15">
        <w:rPr>
          <w:rFonts w:ascii="Arial" w:hAnsi="Arial" w:cs="Arial"/>
          <w:color w:val="000000"/>
          <w:sz w:val="24"/>
          <w:szCs w:val="24"/>
        </w:rPr>
        <w:t xml:space="preserve"> Todas las facultades previstas respecto a los FHN serán asumidas en los términos que establezca la normativa autonómica, incluyendo entre las mismas la facultad de selección, la aprobación de la oferta pública de empleo para cubrir las vacantes existentes de las plazas correspondientes a las mismas en su ámbito territorial, convocar exclusivamente para su territorio los procesos de provisión para las </w:t>
      </w:r>
      <w:r w:rsidRPr="00E82C15">
        <w:rPr>
          <w:rFonts w:ascii="Arial" w:hAnsi="Arial" w:cs="Arial"/>
          <w:color w:val="000000"/>
          <w:sz w:val="24"/>
          <w:szCs w:val="24"/>
        </w:rPr>
        <w:lastRenderedPageBreak/>
        <w:t>plazas vacantes en el mismo, la facultad de nombramiento del personal funcionario en dichos procesos de provisión, la asignación del primer destino y las situaciones administrativas, en los mismos términos previstos en la LPGE para 2022.</w:t>
      </w:r>
    </w:p>
    <w:p w14:paraId="14909076" w14:textId="77777777" w:rsidR="00A45202" w:rsidRPr="00E82C15" w:rsidRDefault="00A45202" w:rsidP="00E82C15">
      <w:pPr>
        <w:pStyle w:val="NormalWeb"/>
        <w:shd w:val="clear" w:color="auto" w:fill="FFFFFF"/>
        <w:spacing w:before="0" w:beforeAutospacing="0" w:after="150" w:afterAutospacing="0" w:line="276" w:lineRule="auto"/>
        <w:jc w:val="both"/>
        <w:rPr>
          <w:rFonts w:ascii="Arial" w:hAnsi="Arial" w:cs="Arial"/>
          <w:color w:val="222222"/>
          <w:sz w:val="24"/>
          <w:szCs w:val="24"/>
        </w:rPr>
      </w:pPr>
      <w:r w:rsidRPr="00E82C15">
        <w:rPr>
          <w:rFonts w:ascii="Arial" w:hAnsi="Arial" w:cs="Arial"/>
          <w:color w:val="000000"/>
          <w:sz w:val="24"/>
          <w:szCs w:val="24"/>
        </w:rPr>
        <w:t>• </w:t>
      </w:r>
      <w:hyperlink r:id="rId18" w:anchor="da7" w:tgtFrame="_blank" w:history="1">
        <w:r w:rsidRPr="00E82C15">
          <w:rPr>
            <w:rStyle w:val="Hipervnculo"/>
            <w:rFonts w:ascii="Arial" w:hAnsi="Arial" w:cs="Arial"/>
            <w:b/>
            <w:bCs/>
            <w:i/>
            <w:iCs/>
            <w:color w:val="365F91"/>
            <w:sz w:val="24"/>
            <w:szCs w:val="24"/>
            <w:u w:val="none"/>
          </w:rPr>
          <w:t>Disposición adicional séptima</w:t>
        </w:r>
      </w:hyperlink>
      <w:r w:rsidRPr="00E82C15">
        <w:rPr>
          <w:rFonts w:ascii="Arial" w:hAnsi="Arial" w:cs="Arial"/>
          <w:b/>
          <w:bCs/>
          <w:i/>
          <w:iCs/>
          <w:color w:val="365F91"/>
          <w:sz w:val="24"/>
          <w:szCs w:val="24"/>
        </w:rPr>
        <w:t>, apartado 3º.</w:t>
      </w:r>
      <w:r w:rsidRPr="00E82C15">
        <w:rPr>
          <w:rFonts w:ascii="Arial" w:hAnsi="Arial" w:cs="Arial"/>
          <w:color w:val="000000"/>
          <w:sz w:val="24"/>
          <w:szCs w:val="24"/>
        </w:rPr>
        <w:t> Acceso a los datos del padrón</w:t>
      </w:r>
    </w:p>
    <w:p w14:paraId="0902AE86" w14:textId="6ADE74B9" w:rsidR="00A45202" w:rsidRPr="00E82C15" w:rsidRDefault="00A45202" w:rsidP="00E82C15">
      <w:pPr>
        <w:pStyle w:val="NormalWeb"/>
        <w:shd w:val="clear" w:color="auto" w:fill="FFFFFF"/>
        <w:spacing w:before="0" w:beforeAutospacing="0" w:after="150" w:afterAutospacing="0" w:line="276" w:lineRule="auto"/>
        <w:jc w:val="both"/>
        <w:rPr>
          <w:rFonts w:ascii="Arial" w:hAnsi="Arial" w:cs="Arial"/>
          <w:color w:val="000000"/>
          <w:sz w:val="24"/>
          <w:szCs w:val="24"/>
        </w:rPr>
      </w:pPr>
      <w:r w:rsidRPr="00E82C15">
        <w:rPr>
          <w:rFonts w:ascii="Arial" w:hAnsi="Arial" w:cs="Arial"/>
          <w:color w:val="000000"/>
          <w:sz w:val="24"/>
          <w:szCs w:val="24"/>
        </w:rPr>
        <w:t>• </w:t>
      </w:r>
      <w:r w:rsidRPr="00E82C15">
        <w:rPr>
          <w:rFonts w:ascii="Arial" w:hAnsi="Arial" w:cs="Arial"/>
          <w:b/>
          <w:bCs/>
          <w:i/>
          <w:iCs/>
          <w:color w:val="365F91"/>
          <w:sz w:val="24"/>
          <w:szCs w:val="24"/>
        </w:rPr>
        <w:t>Disposición adicional decimoséptima (nueva).</w:t>
      </w:r>
      <w:r w:rsidRPr="00E82C15">
        <w:rPr>
          <w:rFonts w:ascii="Arial" w:hAnsi="Arial" w:cs="Arial"/>
          <w:color w:val="000000"/>
          <w:sz w:val="24"/>
          <w:szCs w:val="24"/>
        </w:rPr>
        <w:t> Derechos históricos de Cataluña</w:t>
      </w:r>
      <w:r w:rsidR="0000450E" w:rsidRPr="00E82C15">
        <w:rPr>
          <w:rFonts w:ascii="Arial" w:hAnsi="Arial" w:cs="Arial"/>
          <w:color w:val="000000"/>
          <w:sz w:val="24"/>
          <w:szCs w:val="24"/>
        </w:rPr>
        <w:t>.</w:t>
      </w:r>
    </w:p>
    <w:p w14:paraId="085EFAE7" w14:textId="77777777" w:rsidR="00EA572F" w:rsidRPr="00E82C15" w:rsidRDefault="00EA572F" w:rsidP="00E82C15">
      <w:pPr>
        <w:pStyle w:val="NormalWeb"/>
        <w:shd w:val="clear" w:color="auto" w:fill="FFFFFF"/>
        <w:spacing w:before="0" w:beforeAutospacing="0" w:after="150" w:afterAutospacing="0" w:line="276" w:lineRule="auto"/>
        <w:jc w:val="both"/>
        <w:rPr>
          <w:rFonts w:ascii="Arial" w:hAnsi="Arial" w:cs="Arial"/>
          <w:color w:val="000000"/>
          <w:sz w:val="24"/>
          <w:szCs w:val="24"/>
        </w:rPr>
      </w:pPr>
    </w:p>
    <w:p w14:paraId="3ECC1921" w14:textId="77777777" w:rsidR="00EA572F" w:rsidRPr="00E82C15" w:rsidRDefault="00EA572F" w:rsidP="00E82C15">
      <w:pPr>
        <w:pStyle w:val="NormalWeb"/>
        <w:shd w:val="clear" w:color="auto" w:fill="FFFFFF"/>
        <w:spacing w:before="0" w:beforeAutospacing="0" w:after="150" w:afterAutospacing="0" w:line="276" w:lineRule="auto"/>
        <w:jc w:val="both"/>
        <w:rPr>
          <w:rFonts w:ascii="Arial" w:hAnsi="Arial" w:cs="Arial"/>
          <w:color w:val="000000"/>
          <w:sz w:val="24"/>
          <w:szCs w:val="24"/>
        </w:rPr>
      </w:pPr>
      <w:r w:rsidRPr="00E82C15">
        <w:rPr>
          <w:rFonts w:ascii="Arial" w:hAnsi="Arial" w:cs="Arial"/>
          <w:b/>
          <w:bCs/>
          <w:color w:val="365F91"/>
          <w:sz w:val="24"/>
          <w:szCs w:val="24"/>
        </w:rPr>
        <w:t>REAL DECRETO 141/2024, de 6 de febrero, por el que se modifica el Reglamento de Población y Demarcación Territorial de las Entidades Locales, aprobado por el Real Decreto 1690/1986, de 11 de julio.</w:t>
      </w:r>
    </w:p>
    <w:p w14:paraId="36ECDD15" w14:textId="6068CFC1" w:rsidR="00EA572F" w:rsidRDefault="00000000" w:rsidP="00E82C15">
      <w:pPr>
        <w:pStyle w:val="NormalWeb"/>
        <w:shd w:val="clear" w:color="auto" w:fill="FFFFFF"/>
        <w:spacing w:before="0" w:beforeAutospacing="0" w:after="150" w:afterAutospacing="0" w:line="276" w:lineRule="auto"/>
        <w:jc w:val="both"/>
        <w:rPr>
          <w:rFonts w:ascii="Arial" w:hAnsi="Arial" w:cs="Arial"/>
          <w:color w:val="000000"/>
          <w:sz w:val="24"/>
          <w:szCs w:val="24"/>
        </w:rPr>
      </w:pPr>
      <w:hyperlink r:id="rId19" w:history="1">
        <w:r w:rsidR="00EA1517" w:rsidRPr="00093AC4">
          <w:rPr>
            <w:rStyle w:val="Hipervnculo"/>
            <w:rFonts w:ascii="Arial" w:hAnsi="Arial" w:cs="Arial"/>
            <w:sz w:val="24"/>
            <w:szCs w:val="24"/>
          </w:rPr>
          <w:t>https://www.boe.es/diario_boe/txt.php?id=BOE-A-2024-2248</w:t>
        </w:r>
      </w:hyperlink>
    </w:p>
    <w:p w14:paraId="37EA3D28" w14:textId="7FCB5267" w:rsidR="00EA572F" w:rsidRPr="00E82C15" w:rsidRDefault="00E82C15" w:rsidP="00E82C15">
      <w:pPr>
        <w:shd w:val="clear" w:color="auto" w:fill="FFFFFF"/>
        <w:spacing w:line="276" w:lineRule="auto"/>
        <w:jc w:val="both"/>
        <w:rPr>
          <w:rFonts w:ascii="Arial" w:hAnsi="Arial" w:cs="Arial"/>
        </w:rPr>
      </w:pPr>
      <w:r w:rsidRPr="00E82C15">
        <w:rPr>
          <w:rFonts w:ascii="Arial" w:hAnsi="Arial" w:cs="Arial"/>
        </w:rPr>
        <w:t xml:space="preserve">Este </w:t>
      </w:r>
      <w:r w:rsidR="00EA572F" w:rsidRPr="00E82C15">
        <w:rPr>
          <w:rFonts w:ascii="Arial" w:hAnsi="Arial" w:cs="Arial"/>
        </w:rPr>
        <w:t>Real Decreto modifica el Reglamento de Población y Demarcación Territorial de las Entidades Locales, con la finalidad de continuar con la transformación de las entidades locales, en este caso, a través de la modernización de la gestión del padrón municipal.</w:t>
      </w:r>
    </w:p>
    <w:p w14:paraId="3038E8CC" w14:textId="77777777" w:rsidR="00EA572F" w:rsidRPr="00E82C15" w:rsidRDefault="00EA572F" w:rsidP="00E82C15">
      <w:pPr>
        <w:shd w:val="clear" w:color="auto" w:fill="FFFFFF"/>
        <w:spacing w:line="276" w:lineRule="auto"/>
        <w:jc w:val="both"/>
        <w:rPr>
          <w:rFonts w:ascii="Arial" w:hAnsi="Arial" w:cs="Arial"/>
        </w:rPr>
      </w:pPr>
    </w:p>
    <w:p w14:paraId="1247959B" w14:textId="77777777" w:rsidR="00EA572F" w:rsidRPr="00E82C15" w:rsidRDefault="00EA572F" w:rsidP="00E82C15">
      <w:pPr>
        <w:shd w:val="clear" w:color="auto" w:fill="FFFFFF"/>
        <w:spacing w:line="276" w:lineRule="auto"/>
        <w:jc w:val="both"/>
        <w:rPr>
          <w:rFonts w:ascii="Arial" w:hAnsi="Arial" w:cs="Arial"/>
        </w:rPr>
      </w:pPr>
      <w:r w:rsidRPr="00E82C15">
        <w:rPr>
          <w:rFonts w:ascii="Arial" w:hAnsi="Arial" w:cs="Arial"/>
        </w:rPr>
        <w:t>Esta propuesta normativa se encuentra en el marco del Plan de Recuperación, Transformación y Resiliencia (PRTR), dentro del proyecto de «Reforma para la modernización y digitalización de la Administración», que establece como uno de sus objetivos la actualización y mejora del padrón municipal de habitantes gestionado por las entidades locales.</w:t>
      </w:r>
    </w:p>
    <w:p w14:paraId="5F431753" w14:textId="77777777" w:rsidR="00EA572F" w:rsidRPr="00E82C15" w:rsidRDefault="00EA572F" w:rsidP="00E82C15">
      <w:pPr>
        <w:shd w:val="clear" w:color="auto" w:fill="FFFFFF"/>
        <w:spacing w:line="276" w:lineRule="auto"/>
        <w:jc w:val="both"/>
        <w:rPr>
          <w:rFonts w:ascii="Arial" w:hAnsi="Arial" w:cs="Arial"/>
        </w:rPr>
      </w:pPr>
    </w:p>
    <w:p w14:paraId="2BE2B7F3" w14:textId="77777777" w:rsidR="00EA572F" w:rsidRPr="00E82C15" w:rsidRDefault="00EA572F" w:rsidP="00E82C15">
      <w:pPr>
        <w:shd w:val="clear" w:color="auto" w:fill="FFFFFF"/>
        <w:spacing w:line="276" w:lineRule="auto"/>
        <w:jc w:val="both"/>
        <w:rPr>
          <w:rFonts w:ascii="Arial" w:hAnsi="Arial" w:cs="Arial"/>
        </w:rPr>
      </w:pPr>
      <w:r w:rsidRPr="00E82C15">
        <w:rPr>
          <w:rFonts w:ascii="Arial" w:hAnsi="Arial" w:cs="Arial"/>
        </w:rPr>
        <w:t>El principal objetivo es mejorar la comunicación entre ayuntamientos y el Instituto Nacional de Estadística (INE) para conseguir un intercambio de datos en tiempo real, gracias a la interconexión entre padrones y el INE.</w:t>
      </w:r>
    </w:p>
    <w:p w14:paraId="33B7B53A" w14:textId="77777777" w:rsidR="00EA572F" w:rsidRPr="00E82C15" w:rsidRDefault="00EA572F" w:rsidP="00E82C15">
      <w:pPr>
        <w:shd w:val="clear" w:color="auto" w:fill="FFFFFF"/>
        <w:spacing w:line="276" w:lineRule="auto"/>
        <w:jc w:val="both"/>
        <w:rPr>
          <w:rFonts w:ascii="Arial" w:hAnsi="Arial" w:cs="Arial"/>
        </w:rPr>
      </w:pPr>
    </w:p>
    <w:p w14:paraId="29B044A5" w14:textId="77777777" w:rsidR="00EA572F" w:rsidRPr="00E82C15" w:rsidRDefault="00EA572F" w:rsidP="00E82C15">
      <w:pPr>
        <w:shd w:val="clear" w:color="auto" w:fill="FFFFFF"/>
        <w:spacing w:line="276" w:lineRule="auto"/>
        <w:jc w:val="both"/>
        <w:rPr>
          <w:rFonts w:ascii="Arial" w:hAnsi="Arial" w:cs="Arial"/>
        </w:rPr>
      </w:pPr>
      <w:r w:rsidRPr="00E82C15">
        <w:rPr>
          <w:rFonts w:ascii="Arial" w:hAnsi="Arial" w:cs="Arial"/>
        </w:rPr>
        <w:t>La comunicación de datos del padrón por parte de los ayuntamientos que los gestionan pasa de ser mensual a ser una comunicación en tiempo real, gracias a la agilidad que proporcionan los medios electrónicos.</w:t>
      </w:r>
    </w:p>
    <w:p w14:paraId="6A4627DC" w14:textId="77777777" w:rsidR="00EA572F" w:rsidRPr="00E82C15" w:rsidRDefault="00EA572F" w:rsidP="00E82C15">
      <w:pPr>
        <w:shd w:val="clear" w:color="auto" w:fill="FFFFFF"/>
        <w:spacing w:line="276" w:lineRule="auto"/>
        <w:jc w:val="both"/>
        <w:rPr>
          <w:rFonts w:ascii="Arial" w:hAnsi="Arial" w:cs="Arial"/>
        </w:rPr>
      </w:pPr>
    </w:p>
    <w:p w14:paraId="20740C6C" w14:textId="77777777" w:rsidR="00EA572F" w:rsidRPr="00E82C15" w:rsidRDefault="00EA572F" w:rsidP="00E82C15">
      <w:pPr>
        <w:shd w:val="clear" w:color="auto" w:fill="FFFFFF"/>
        <w:spacing w:line="276" w:lineRule="auto"/>
        <w:jc w:val="both"/>
        <w:rPr>
          <w:rFonts w:ascii="Arial" w:hAnsi="Arial" w:cs="Arial"/>
        </w:rPr>
      </w:pPr>
      <w:r w:rsidRPr="00E82C15">
        <w:rPr>
          <w:rFonts w:ascii="Arial" w:hAnsi="Arial" w:cs="Arial"/>
        </w:rPr>
        <w:t>Otro beneficio de la modificación será la actualización del censo electoral, ya que permitirá que el envío de datos mensual que llevan a cabo los ayuntamientos a las delegaciones provinciales de la Oficina del Censo Electoral para la actualización pase a ser un envío de datos en tiempo real.</w:t>
      </w:r>
    </w:p>
    <w:p w14:paraId="1F0D5B7C" w14:textId="77777777" w:rsidR="00EA572F" w:rsidRPr="00E82C15" w:rsidRDefault="00EA572F" w:rsidP="00E82C15">
      <w:pPr>
        <w:shd w:val="clear" w:color="auto" w:fill="FFFFFF"/>
        <w:spacing w:line="276" w:lineRule="auto"/>
        <w:jc w:val="both"/>
        <w:rPr>
          <w:rFonts w:ascii="Arial" w:hAnsi="Arial" w:cs="Arial"/>
        </w:rPr>
      </w:pPr>
    </w:p>
    <w:p w14:paraId="5E7B6C20" w14:textId="77777777" w:rsidR="00EA572F" w:rsidRPr="00E82C15" w:rsidRDefault="00EA572F" w:rsidP="00E82C15">
      <w:pPr>
        <w:shd w:val="clear" w:color="auto" w:fill="FFFFFF"/>
        <w:spacing w:line="276" w:lineRule="auto"/>
        <w:jc w:val="both"/>
        <w:rPr>
          <w:rFonts w:ascii="Arial" w:hAnsi="Arial" w:cs="Arial"/>
        </w:rPr>
      </w:pPr>
      <w:r w:rsidRPr="00E82C15">
        <w:rPr>
          <w:rFonts w:ascii="Arial" w:hAnsi="Arial" w:cs="Arial"/>
        </w:rPr>
        <w:t xml:space="preserve">Hasta que se modifiquen los artículos afectados de la Ley Orgánica del Régimen Electoral General (LOREG), la información recibida en tiempo real de </w:t>
      </w:r>
      <w:r w:rsidRPr="00E82C15">
        <w:rPr>
          <w:rFonts w:ascii="Arial" w:hAnsi="Arial" w:cs="Arial"/>
        </w:rPr>
        <w:lastRenderedPageBreak/>
        <w:t>ayuntamientos y oficinas o secciones consulares se acumulará mensualmente para llevar a cabo la actualización del censo como hasta ahora.</w:t>
      </w:r>
    </w:p>
    <w:p w14:paraId="3FEFFDCA" w14:textId="77777777" w:rsidR="00EA572F" w:rsidRPr="00E82C15" w:rsidRDefault="00EA572F" w:rsidP="00E82C15">
      <w:pPr>
        <w:shd w:val="clear" w:color="auto" w:fill="FFFFFF"/>
        <w:spacing w:line="276" w:lineRule="auto"/>
        <w:jc w:val="both"/>
        <w:rPr>
          <w:rFonts w:ascii="Arial" w:hAnsi="Arial" w:cs="Arial"/>
        </w:rPr>
      </w:pPr>
    </w:p>
    <w:p w14:paraId="74E7F304" w14:textId="77777777" w:rsidR="00EA572F" w:rsidRPr="00E82C15" w:rsidRDefault="00EA572F" w:rsidP="00E82C15">
      <w:pPr>
        <w:shd w:val="clear" w:color="auto" w:fill="FFFFFF"/>
        <w:spacing w:line="276" w:lineRule="auto"/>
        <w:jc w:val="both"/>
        <w:rPr>
          <w:rFonts w:ascii="Arial" w:hAnsi="Arial" w:cs="Arial"/>
        </w:rPr>
      </w:pPr>
      <w:r w:rsidRPr="00E82C15">
        <w:rPr>
          <w:rFonts w:ascii="Arial" w:hAnsi="Arial" w:cs="Arial"/>
        </w:rPr>
        <w:t>Con esta norma, también se actualiza el Reglamento de población y demarcación territorial a las novedades normativas de los últimos años.</w:t>
      </w:r>
    </w:p>
    <w:p w14:paraId="0162C8FB" w14:textId="77777777" w:rsidR="00EA572F" w:rsidRPr="00E82C15" w:rsidRDefault="00EA572F" w:rsidP="00E82C15">
      <w:pPr>
        <w:shd w:val="clear" w:color="auto" w:fill="FFFFFF"/>
        <w:spacing w:line="276" w:lineRule="auto"/>
        <w:jc w:val="both"/>
        <w:rPr>
          <w:rFonts w:ascii="Arial" w:hAnsi="Arial" w:cs="Arial"/>
        </w:rPr>
      </w:pPr>
    </w:p>
    <w:p w14:paraId="45C507A5" w14:textId="77777777" w:rsidR="00EA572F" w:rsidRPr="00E82C15" w:rsidRDefault="00EA572F" w:rsidP="00E82C15">
      <w:pPr>
        <w:shd w:val="clear" w:color="auto" w:fill="FFFFFF"/>
        <w:spacing w:line="276" w:lineRule="auto"/>
        <w:jc w:val="both"/>
        <w:rPr>
          <w:rFonts w:ascii="Arial" w:hAnsi="Arial" w:cs="Arial"/>
        </w:rPr>
      </w:pPr>
      <w:r w:rsidRPr="00E82C15">
        <w:rPr>
          <w:rStyle w:val="Textoennegrita"/>
          <w:rFonts w:ascii="Arial" w:hAnsi="Arial" w:cs="Arial"/>
        </w:rPr>
        <w:t>Novedades</w:t>
      </w:r>
    </w:p>
    <w:p w14:paraId="32C32334" w14:textId="77777777" w:rsidR="00EA572F" w:rsidRPr="00E82C15" w:rsidRDefault="00EA572F" w:rsidP="00E82C15">
      <w:pPr>
        <w:shd w:val="clear" w:color="auto" w:fill="FFFFFF"/>
        <w:spacing w:line="276" w:lineRule="auto"/>
        <w:jc w:val="both"/>
        <w:rPr>
          <w:rFonts w:ascii="Arial" w:hAnsi="Arial" w:cs="Arial"/>
        </w:rPr>
      </w:pPr>
    </w:p>
    <w:p w14:paraId="032A542A" w14:textId="77777777" w:rsidR="00EA572F" w:rsidRPr="00E82C15" w:rsidRDefault="00EA572F" w:rsidP="00E82C15">
      <w:pPr>
        <w:shd w:val="clear" w:color="auto" w:fill="FFFFFF"/>
        <w:spacing w:line="276" w:lineRule="auto"/>
        <w:jc w:val="both"/>
        <w:rPr>
          <w:rFonts w:ascii="Arial" w:hAnsi="Arial" w:cs="Arial"/>
        </w:rPr>
      </w:pPr>
      <w:r w:rsidRPr="00E82C15">
        <w:rPr>
          <w:rFonts w:ascii="Arial" w:hAnsi="Arial" w:cs="Arial"/>
        </w:rPr>
        <w:t>Algunas novedades concretas, junto a la ya mencionada interconexión y comunicación en tiempo real, son las siguientes:</w:t>
      </w:r>
    </w:p>
    <w:p w14:paraId="09EB93AC" w14:textId="77777777" w:rsidR="00EA572F" w:rsidRPr="00E82C15" w:rsidRDefault="00EA572F" w:rsidP="00E82C15">
      <w:pPr>
        <w:numPr>
          <w:ilvl w:val="0"/>
          <w:numId w:val="13"/>
        </w:numPr>
        <w:shd w:val="clear" w:color="auto" w:fill="FFFFFF"/>
        <w:spacing w:before="360" w:after="240" w:line="276" w:lineRule="auto"/>
        <w:ind w:left="1440"/>
        <w:jc w:val="both"/>
        <w:rPr>
          <w:rFonts w:ascii="Arial" w:hAnsi="Arial" w:cs="Arial"/>
        </w:rPr>
      </w:pPr>
      <w:r w:rsidRPr="00E82C15">
        <w:rPr>
          <w:rFonts w:ascii="Arial" w:hAnsi="Arial" w:cs="Arial"/>
        </w:rPr>
        <w:t>Se sustituye el término «residencia permanente», por el de «residencia de larga duración», de acuerdo con la normativa vigente.</w:t>
      </w:r>
    </w:p>
    <w:p w14:paraId="2D8CDABF" w14:textId="77777777" w:rsidR="00EA572F" w:rsidRPr="00E82C15" w:rsidRDefault="00EA572F" w:rsidP="00E82C15">
      <w:pPr>
        <w:numPr>
          <w:ilvl w:val="0"/>
          <w:numId w:val="13"/>
        </w:numPr>
        <w:shd w:val="clear" w:color="auto" w:fill="FFFFFF"/>
        <w:spacing w:before="240" w:after="240" w:line="276" w:lineRule="auto"/>
        <w:ind w:left="1440"/>
        <w:jc w:val="both"/>
        <w:rPr>
          <w:rFonts w:ascii="Arial" w:hAnsi="Arial" w:cs="Arial"/>
        </w:rPr>
      </w:pPr>
      <w:r w:rsidRPr="00E82C15">
        <w:rPr>
          <w:rFonts w:ascii="Arial" w:hAnsi="Arial" w:cs="Arial"/>
        </w:rPr>
        <w:t>También se contemplan las personas menores de edad y las obligaciones de sus representantes legales (progenitores y tutores) y las personas con discapacidad que precisen de medidas de apoyo con funciones representativas para el ejercicio de su capacidad jurídica y obligaciones de quienes ejerzan esas medidas de apoyo.</w:t>
      </w:r>
    </w:p>
    <w:p w14:paraId="0FB090C5" w14:textId="77777777" w:rsidR="00EA572F" w:rsidRPr="00E82C15" w:rsidRDefault="00EA572F" w:rsidP="00E82C15">
      <w:pPr>
        <w:numPr>
          <w:ilvl w:val="0"/>
          <w:numId w:val="13"/>
        </w:numPr>
        <w:shd w:val="clear" w:color="auto" w:fill="FFFFFF"/>
        <w:spacing w:before="240" w:after="240" w:line="276" w:lineRule="auto"/>
        <w:ind w:left="1440"/>
        <w:jc w:val="both"/>
        <w:rPr>
          <w:rFonts w:ascii="Arial" w:hAnsi="Arial" w:cs="Arial"/>
        </w:rPr>
      </w:pPr>
      <w:r w:rsidRPr="00E82C15">
        <w:rPr>
          <w:rFonts w:ascii="Arial" w:hAnsi="Arial" w:cs="Arial"/>
        </w:rPr>
        <w:t>Se elimina la exigencia de que la persona con discapacidad haya de tener la misma vecindad civil que la de la persona que ejerza las medidas de apoyo con funciones representativas, ya que es una medida restrictiva de derechos individuales que carece de justificación y así, en línea con la Ley 8/2021, por la que se reforma la legislación civil y procesal para el apoyo a las personas con discapacidad en el ejercicio de su capacidad jurídica, se respeta la voluntad, deseos y preferencias de la persona con discapacidad.</w:t>
      </w:r>
    </w:p>
    <w:p w14:paraId="03AE936C" w14:textId="77777777" w:rsidR="00EA572F" w:rsidRPr="00E82C15" w:rsidRDefault="00EA572F" w:rsidP="00E82C15">
      <w:pPr>
        <w:numPr>
          <w:ilvl w:val="0"/>
          <w:numId w:val="13"/>
        </w:numPr>
        <w:shd w:val="clear" w:color="auto" w:fill="FFFFFF"/>
        <w:spacing w:before="240" w:after="240" w:line="276" w:lineRule="auto"/>
        <w:ind w:left="1440"/>
        <w:jc w:val="both"/>
        <w:rPr>
          <w:rFonts w:ascii="Arial" w:hAnsi="Arial" w:cs="Arial"/>
        </w:rPr>
      </w:pPr>
      <w:r w:rsidRPr="00E82C15">
        <w:rPr>
          <w:rFonts w:ascii="Arial" w:hAnsi="Arial" w:cs="Arial"/>
        </w:rPr>
        <w:t>Se actualizan los datos, tanto obligatorios como voluntarios, que debe recoger el padrón, de acuerdo con la modificación de la Ley Reguladora de las Bases de Régimen Local, llevada a cabo mediante el Real Decreto-ley 6/2023, de 19 de diciembre. En cuanto a los datos obligatorios, se actualiza la referencia al número de identidad de extranjero (NIE) y se incluye la especificación de la referencia catastral del domicilio habitual o el código equivalente en los territorios forales. Esta inclusión se realizará de forma paulatina, conforme se vayan adaptando las aplicaciones municipales, siendo obligatoria a partir de la puesta en marcha del sistema de intercambio de datos en tiempo real para todas las inscripciones. En cuanto a datos voluntarios, se incluyen teléfono móvil y correo electrónico.</w:t>
      </w:r>
    </w:p>
    <w:p w14:paraId="5B5A5AC1" w14:textId="77777777" w:rsidR="00EA572F" w:rsidRPr="00E82C15" w:rsidRDefault="00EA572F" w:rsidP="00E82C15">
      <w:pPr>
        <w:numPr>
          <w:ilvl w:val="0"/>
          <w:numId w:val="13"/>
        </w:numPr>
        <w:shd w:val="clear" w:color="auto" w:fill="FFFFFF"/>
        <w:spacing w:before="240" w:after="240" w:line="276" w:lineRule="auto"/>
        <w:ind w:left="1440"/>
        <w:jc w:val="both"/>
        <w:rPr>
          <w:rFonts w:ascii="Arial" w:hAnsi="Arial" w:cs="Arial"/>
        </w:rPr>
      </w:pPr>
      <w:r w:rsidRPr="00E82C15">
        <w:rPr>
          <w:rFonts w:ascii="Arial" w:hAnsi="Arial" w:cs="Arial"/>
        </w:rPr>
        <w:lastRenderedPageBreak/>
        <w:t>Se actualiza la referencia a la identificación de las personas extranjeras, que dejan de estar basadas en las tarjetas de residencia y, en su lugar, se establecen las tarjetas de identidad de extranjeros como instrumentos de identificación.</w:t>
      </w:r>
    </w:p>
    <w:p w14:paraId="435FE6F0" w14:textId="472C2EAF" w:rsidR="00EA1517" w:rsidRPr="00EA1517" w:rsidRDefault="00EA572F" w:rsidP="00C07BAD">
      <w:pPr>
        <w:numPr>
          <w:ilvl w:val="0"/>
          <w:numId w:val="13"/>
        </w:numPr>
        <w:shd w:val="clear" w:color="auto" w:fill="FFFFFF"/>
        <w:spacing w:before="240" w:line="276" w:lineRule="auto"/>
        <w:ind w:left="1440"/>
        <w:jc w:val="both"/>
        <w:rPr>
          <w:rFonts w:ascii="Arial" w:hAnsi="Arial" w:cs="Arial"/>
        </w:rPr>
      </w:pPr>
      <w:r w:rsidRPr="00EA1517">
        <w:rPr>
          <w:rFonts w:ascii="Arial" w:hAnsi="Arial" w:cs="Arial"/>
        </w:rPr>
        <w:t>Se prevé también el cambio de domicilio de oficio y se recoge la previsión de operaciones para la comprobación periódica de la residencia de los ciudadanos extranjeros que no tienen la obligación de renovar su inscripción padronal cada dos años.</w:t>
      </w:r>
    </w:p>
    <w:p w14:paraId="46EE123C" w14:textId="10ABC2AD" w:rsidR="00A45202" w:rsidRPr="00E82C15" w:rsidRDefault="006D6BDE" w:rsidP="00E82C15">
      <w:pPr>
        <w:pStyle w:val="Citadestacada"/>
        <w:spacing w:line="276" w:lineRule="auto"/>
        <w:rPr>
          <w:rFonts w:ascii="Arial" w:hAnsi="Arial" w:cs="Arial"/>
          <w:b/>
          <w:bCs/>
        </w:rPr>
      </w:pPr>
      <w:r w:rsidRPr="00E82C15">
        <w:rPr>
          <w:rFonts w:ascii="Arial" w:hAnsi="Arial" w:cs="Arial"/>
          <w:b/>
          <w:bCs/>
        </w:rPr>
        <w:t xml:space="preserve">PROYECTOS PARA </w:t>
      </w:r>
      <w:r w:rsidR="006704D7" w:rsidRPr="00E82C15">
        <w:rPr>
          <w:rFonts w:ascii="Arial" w:hAnsi="Arial" w:cs="Arial"/>
          <w:b/>
          <w:bCs/>
        </w:rPr>
        <w:t>2024</w:t>
      </w:r>
    </w:p>
    <w:p w14:paraId="3A81342C" w14:textId="283472F8" w:rsidR="006704D7" w:rsidRPr="00E82C15" w:rsidRDefault="006704D7" w:rsidP="00E82C15">
      <w:pPr>
        <w:pStyle w:val="justificado"/>
        <w:numPr>
          <w:ilvl w:val="0"/>
          <w:numId w:val="14"/>
        </w:numPr>
        <w:spacing w:before="0" w:beforeAutospacing="0" w:after="225" w:afterAutospacing="0" w:line="276" w:lineRule="auto"/>
        <w:jc w:val="both"/>
        <w:rPr>
          <w:rFonts w:ascii="Arial" w:eastAsia="Calibri" w:hAnsi="Arial" w:cs="Arial"/>
          <w:lang w:val="es-ES_tradnl" w:eastAsia="en-US"/>
        </w:rPr>
      </w:pPr>
      <w:r w:rsidRPr="00E82C15">
        <w:rPr>
          <w:rFonts w:ascii="Arial" w:eastAsia="Calibri" w:hAnsi="Arial" w:cs="Arial"/>
          <w:b/>
          <w:lang w:val="es-ES_tradnl" w:eastAsia="en-US"/>
        </w:rPr>
        <w:t>Orden TER/1235/2023, de 15 de noviembre, por la que se aprueban las bases reguladoras y se efectúa convocatoria correspondiente a 2023 de subvenciones destinadas a la transformación digital y modernización de los sistemas de gestión del padrón municipal de las entidades locales, en el marco del PRTR</w:t>
      </w:r>
      <w:r w:rsidR="006D6BDE" w:rsidRPr="00E82C15">
        <w:rPr>
          <w:rFonts w:ascii="Arial" w:eastAsia="Calibri" w:hAnsi="Arial" w:cs="Arial"/>
          <w:b/>
          <w:lang w:val="es-ES_tradnl" w:eastAsia="en-US"/>
        </w:rPr>
        <w:t>. (BOE 18 de noviembre de 2023</w:t>
      </w:r>
      <w:r w:rsidR="006D6BDE" w:rsidRPr="00E82C15">
        <w:rPr>
          <w:rFonts w:ascii="Arial" w:eastAsia="Calibri" w:hAnsi="Arial" w:cs="Arial"/>
          <w:lang w:val="es-ES_tradnl" w:eastAsia="en-US"/>
        </w:rPr>
        <w:t>).</w:t>
      </w:r>
    </w:p>
    <w:p w14:paraId="56794764" w14:textId="0793FB17" w:rsidR="006D6BDE" w:rsidRPr="00E82C15" w:rsidRDefault="006D6BDE" w:rsidP="00E82C15">
      <w:pPr>
        <w:pStyle w:val="justificado"/>
        <w:spacing w:before="0" w:beforeAutospacing="0" w:after="225" w:afterAutospacing="0" w:line="276" w:lineRule="auto"/>
        <w:jc w:val="both"/>
        <w:rPr>
          <w:rFonts w:ascii="Arial" w:eastAsia="Calibri" w:hAnsi="Arial" w:cs="Arial"/>
          <w:lang w:val="es-ES_tradnl" w:eastAsia="en-US"/>
        </w:rPr>
      </w:pPr>
      <w:r w:rsidRPr="00E82C15">
        <w:rPr>
          <w:rFonts w:ascii="Arial" w:eastAsia="Calibri" w:hAnsi="Arial" w:cs="Arial"/>
          <w:lang w:val="es-ES_tradnl" w:eastAsia="en-US"/>
        </w:rPr>
        <w:t>Prevé dos actuaciones:</w:t>
      </w:r>
    </w:p>
    <w:p w14:paraId="531463D1" w14:textId="38328A7C" w:rsidR="006D6BDE" w:rsidRPr="00E82C15" w:rsidRDefault="006D6BDE" w:rsidP="00E82C15">
      <w:pPr>
        <w:pStyle w:val="justificado"/>
        <w:numPr>
          <w:ilvl w:val="0"/>
          <w:numId w:val="12"/>
        </w:numPr>
        <w:spacing w:before="0" w:beforeAutospacing="0" w:after="225" w:afterAutospacing="0" w:line="276" w:lineRule="auto"/>
        <w:jc w:val="both"/>
        <w:rPr>
          <w:rFonts w:ascii="Arial" w:eastAsia="Calibri" w:hAnsi="Arial" w:cs="Arial"/>
          <w:lang w:val="es-ES_tradnl" w:eastAsia="en-US"/>
        </w:rPr>
      </w:pPr>
      <w:r w:rsidRPr="00E82C15">
        <w:rPr>
          <w:rFonts w:ascii="Arial" w:eastAsia="Calibri" w:hAnsi="Arial" w:cs="Arial"/>
          <w:lang w:val="es-ES_tradnl" w:eastAsia="en-US"/>
        </w:rPr>
        <w:t>Puesta en marcha de un nuevo sistema de gestión de la información sobre el territorio de ámbito municipal.</w:t>
      </w:r>
    </w:p>
    <w:p w14:paraId="05F78B32" w14:textId="2ACD8930" w:rsidR="006D6BDE" w:rsidRPr="00E82C15" w:rsidRDefault="006D6BDE" w:rsidP="00E82C15">
      <w:pPr>
        <w:pStyle w:val="justificado"/>
        <w:numPr>
          <w:ilvl w:val="0"/>
          <w:numId w:val="12"/>
        </w:numPr>
        <w:spacing w:before="0" w:beforeAutospacing="0" w:after="225" w:afterAutospacing="0" w:line="276" w:lineRule="auto"/>
        <w:jc w:val="both"/>
        <w:rPr>
          <w:rFonts w:ascii="Arial" w:eastAsia="Calibri" w:hAnsi="Arial" w:cs="Arial"/>
          <w:lang w:val="es-ES_tradnl" w:eastAsia="en-US"/>
        </w:rPr>
      </w:pPr>
      <w:r w:rsidRPr="00E82C15">
        <w:rPr>
          <w:rFonts w:ascii="Arial" w:eastAsia="Calibri" w:hAnsi="Arial" w:cs="Arial"/>
          <w:lang w:val="es-ES_tradnl" w:eastAsia="en-US"/>
        </w:rPr>
        <w:t>Puesta en marcha de un nuevo sistema de intercambio de información padronal en tiempo real entre los municipios y el INE.</w:t>
      </w:r>
    </w:p>
    <w:p w14:paraId="2A14C065" w14:textId="1CF86DBF" w:rsidR="006D6BDE" w:rsidRPr="00E82C15" w:rsidRDefault="006D6BDE" w:rsidP="00E82C15">
      <w:pPr>
        <w:pStyle w:val="justificado"/>
        <w:spacing w:before="0" w:beforeAutospacing="0" w:after="225" w:afterAutospacing="0" w:line="276" w:lineRule="auto"/>
        <w:jc w:val="both"/>
        <w:rPr>
          <w:rFonts w:ascii="Arial" w:eastAsia="Calibri" w:hAnsi="Arial" w:cs="Arial"/>
          <w:lang w:val="es-ES_tradnl" w:eastAsia="en-US"/>
        </w:rPr>
      </w:pPr>
      <w:r w:rsidRPr="00E82C15">
        <w:rPr>
          <w:rFonts w:ascii="Arial" w:eastAsia="Calibri" w:hAnsi="Arial" w:cs="Arial"/>
          <w:lang w:val="es-ES_tradnl" w:eastAsia="en-US"/>
        </w:rPr>
        <w:t>Beneficiarios: Diputaciones Provinciales</w:t>
      </w:r>
    </w:p>
    <w:p w14:paraId="0196F7DB" w14:textId="341F9446" w:rsidR="006D6BDE" w:rsidRPr="00E82C15" w:rsidRDefault="006D6BDE" w:rsidP="00E82C15">
      <w:pPr>
        <w:pStyle w:val="justificado"/>
        <w:spacing w:before="0" w:beforeAutospacing="0" w:after="225" w:afterAutospacing="0" w:line="276" w:lineRule="auto"/>
        <w:jc w:val="both"/>
        <w:rPr>
          <w:rFonts w:ascii="Arial" w:eastAsia="Calibri" w:hAnsi="Arial" w:cs="Arial"/>
          <w:lang w:val="es-ES_tradnl" w:eastAsia="en-US"/>
        </w:rPr>
      </w:pPr>
      <w:r w:rsidRPr="00E82C15">
        <w:rPr>
          <w:rFonts w:ascii="Arial" w:eastAsia="Calibri" w:hAnsi="Arial" w:cs="Arial"/>
          <w:lang w:val="es-ES_tradnl" w:eastAsia="en-US"/>
        </w:rPr>
        <w:t xml:space="preserve">Destinatarios de las actuaciones: Municipios de su ámbito territorial con población inferior a 20.000 habitantes. </w:t>
      </w:r>
    </w:p>
    <w:p w14:paraId="3A8811FA" w14:textId="77777777" w:rsidR="006D6BDE" w:rsidRPr="00E82C15" w:rsidRDefault="006D6BDE" w:rsidP="00E82C15">
      <w:pPr>
        <w:pStyle w:val="justificado"/>
        <w:spacing w:before="0" w:beforeAutospacing="0" w:after="225" w:afterAutospacing="0" w:line="276" w:lineRule="auto"/>
        <w:jc w:val="both"/>
        <w:rPr>
          <w:rFonts w:ascii="Arial" w:eastAsia="Calibri" w:hAnsi="Arial" w:cs="Arial"/>
          <w:lang w:val="es-ES_tradnl" w:eastAsia="en-US"/>
        </w:rPr>
      </w:pPr>
    </w:p>
    <w:p w14:paraId="6DDEDBE2" w14:textId="72000B56" w:rsidR="00EA1517" w:rsidRDefault="006D6BDE" w:rsidP="00EA1517">
      <w:pPr>
        <w:pStyle w:val="justificado"/>
        <w:numPr>
          <w:ilvl w:val="0"/>
          <w:numId w:val="14"/>
        </w:numPr>
        <w:spacing w:before="0" w:beforeAutospacing="0" w:after="225" w:afterAutospacing="0" w:line="276" w:lineRule="auto"/>
        <w:jc w:val="both"/>
        <w:rPr>
          <w:rFonts w:ascii="Arial" w:eastAsia="Calibri" w:hAnsi="Arial" w:cs="Arial"/>
          <w:b/>
          <w:lang w:val="es-ES_tradnl" w:eastAsia="en-US"/>
        </w:rPr>
      </w:pPr>
      <w:r w:rsidRPr="00E82C15">
        <w:rPr>
          <w:rFonts w:ascii="Arial" w:eastAsia="Calibri" w:hAnsi="Arial" w:cs="Arial"/>
          <w:lang w:val="es-ES_tradnl" w:eastAsia="en-US"/>
        </w:rPr>
        <w:t xml:space="preserve">Convenio Diputación de Palencia- Junta de Castilla y León para la Redacción de las </w:t>
      </w:r>
      <w:r w:rsidRPr="00E82C15">
        <w:rPr>
          <w:rFonts w:ascii="Arial" w:eastAsia="Calibri" w:hAnsi="Arial" w:cs="Arial"/>
          <w:b/>
          <w:lang w:val="es-ES_tradnl" w:eastAsia="en-US"/>
        </w:rPr>
        <w:t>NORMAS URBANÍSTICAS TERRITORIALES CON ÁMBITO PROVINCIAL DE PALENCIA.</w:t>
      </w:r>
    </w:p>
    <w:p w14:paraId="45474F04" w14:textId="77777777" w:rsidR="007B070C" w:rsidRPr="00EA1517" w:rsidRDefault="007B070C" w:rsidP="007B070C">
      <w:pPr>
        <w:pStyle w:val="justificado"/>
        <w:spacing w:before="0" w:beforeAutospacing="0" w:after="225" w:afterAutospacing="0" w:line="276" w:lineRule="auto"/>
        <w:jc w:val="both"/>
        <w:rPr>
          <w:rFonts w:ascii="Arial" w:eastAsia="Calibri" w:hAnsi="Arial" w:cs="Arial"/>
          <w:b/>
          <w:lang w:val="es-ES_tradnl" w:eastAsia="en-US"/>
        </w:rPr>
      </w:pPr>
    </w:p>
    <w:p w14:paraId="3C15636B" w14:textId="7B6D4516" w:rsidR="00A45202" w:rsidRPr="00E82C15" w:rsidRDefault="00480B4B" w:rsidP="00E82C15">
      <w:pPr>
        <w:pStyle w:val="Citadestacada"/>
        <w:spacing w:line="276" w:lineRule="auto"/>
        <w:rPr>
          <w:rFonts w:ascii="Arial" w:hAnsi="Arial" w:cs="Arial"/>
          <w:b/>
          <w:bCs/>
        </w:rPr>
      </w:pPr>
      <w:r w:rsidRPr="00E82C15">
        <w:rPr>
          <w:rFonts w:ascii="Arial" w:hAnsi="Arial" w:cs="Arial"/>
          <w:b/>
          <w:bCs/>
        </w:rPr>
        <w:lastRenderedPageBreak/>
        <w:t>PREVISIÓN SUBVENCIONES SAM 2024</w:t>
      </w:r>
    </w:p>
    <w:tbl>
      <w:tblPr>
        <w:tblStyle w:val="Tablaconcuadrcula"/>
        <w:tblW w:w="0" w:type="auto"/>
        <w:tblLook w:val="04A0" w:firstRow="1" w:lastRow="0" w:firstColumn="1" w:lastColumn="0" w:noHBand="0" w:noVBand="1"/>
      </w:tblPr>
      <w:tblGrid>
        <w:gridCol w:w="3651"/>
        <w:gridCol w:w="2560"/>
        <w:gridCol w:w="2560"/>
      </w:tblGrid>
      <w:tr w:rsidR="00A45202" w:rsidRPr="00E82C15" w14:paraId="167D3B12" w14:textId="77777777" w:rsidTr="00995671">
        <w:tc>
          <w:tcPr>
            <w:tcW w:w="3651" w:type="dxa"/>
            <w:shd w:val="clear" w:color="auto" w:fill="DBE5F1" w:themeFill="accent1" w:themeFillTint="33"/>
          </w:tcPr>
          <w:p w14:paraId="1B93CFF9" w14:textId="77777777" w:rsidR="00A45202" w:rsidRPr="00E82C15" w:rsidRDefault="00A45202" w:rsidP="00E82C15">
            <w:pPr>
              <w:spacing w:line="276" w:lineRule="auto"/>
              <w:rPr>
                <w:rFonts w:ascii="Arial" w:hAnsi="Arial" w:cs="Arial"/>
                <w:color w:val="222222"/>
              </w:rPr>
            </w:pPr>
            <w:r w:rsidRPr="00E82C15">
              <w:rPr>
                <w:rFonts w:ascii="Arial" w:hAnsi="Arial" w:cs="Arial"/>
                <w:color w:val="222222"/>
              </w:rPr>
              <w:t>Línea de ayudas</w:t>
            </w:r>
          </w:p>
        </w:tc>
        <w:tc>
          <w:tcPr>
            <w:tcW w:w="2560" w:type="dxa"/>
            <w:shd w:val="clear" w:color="auto" w:fill="DBE5F1" w:themeFill="accent1" w:themeFillTint="33"/>
          </w:tcPr>
          <w:p w14:paraId="109E4912" w14:textId="77777777" w:rsidR="00A45202" w:rsidRPr="00E82C15" w:rsidRDefault="00A45202" w:rsidP="00E82C15">
            <w:pPr>
              <w:spacing w:line="276" w:lineRule="auto"/>
              <w:jc w:val="right"/>
              <w:rPr>
                <w:rFonts w:ascii="Arial" w:hAnsi="Arial" w:cs="Arial"/>
                <w:color w:val="222222"/>
              </w:rPr>
            </w:pPr>
            <w:r w:rsidRPr="00E82C15">
              <w:rPr>
                <w:rFonts w:ascii="Arial" w:hAnsi="Arial" w:cs="Arial"/>
                <w:color w:val="222222"/>
              </w:rPr>
              <w:t>Importe</w:t>
            </w:r>
          </w:p>
        </w:tc>
        <w:tc>
          <w:tcPr>
            <w:tcW w:w="2560" w:type="dxa"/>
            <w:shd w:val="clear" w:color="auto" w:fill="DBE5F1" w:themeFill="accent1" w:themeFillTint="33"/>
          </w:tcPr>
          <w:p w14:paraId="2365E134" w14:textId="77777777" w:rsidR="00A45202" w:rsidRPr="00E82C15" w:rsidRDefault="00A45202" w:rsidP="00E82C15">
            <w:pPr>
              <w:spacing w:line="276" w:lineRule="auto"/>
              <w:jc w:val="right"/>
              <w:rPr>
                <w:rFonts w:ascii="Arial" w:hAnsi="Arial" w:cs="Arial"/>
                <w:color w:val="222222"/>
              </w:rPr>
            </w:pPr>
            <w:r w:rsidRPr="00E82C15">
              <w:rPr>
                <w:rFonts w:ascii="Arial" w:hAnsi="Arial" w:cs="Arial"/>
                <w:color w:val="222222"/>
              </w:rPr>
              <w:t>Destinatarios</w:t>
            </w:r>
          </w:p>
        </w:tc>
      </w:tr>
      <w:tr w:rsidR="00A45202" w:rsidRPr="00E82C15" w14:paraId="2FB13AF7" w14:textId="77777777" w:rsidTr="00995671">
        <w:tc>
          <w:tcPr>
            <w:tcW w:w="3651" w:type="dxa"/>
          </w:tcPr>
          <w:p w14:paraId="5D4FD756" w14:textId="77777777" w:rsidR="00A45202" w:rsidRPr="00E82C15" w:rsidRDefault="00A45202" w:rsidP="00E82C15">
            <w:pPr>
              <w:spacing w:line="276" w:lineRule="auto"/>
              <w:rPr>
                <w:rFonts w:ascii="Arial" w:hAnsi="Arial" w:cs="Arial"/>
                <w:color w:val="222222"/>
              </w:rPr>
            </w:pPr>
            <w:r w:rsidRPr="00E82C15">
              <w:rPr>
                <w:rFonts w:ascii="Arial" w:hAnsi="Arial" w:cs="Arial"/>
                <w:color w:val="222222"/>
              </w:rPr>
              <w:t>Elaboración de planeamiento urbanístico (BOP 26 enero 2024)</w:t>
            </w:r>
          </w:p>
        </w:tc>
        <w:tc>
          <w:tcPr>
            <w:tcW w:w="2560" w:type="dxa"/>
          </w:tcPr>
          <w:p w14:paraId="5B04E81D" w14:textId="77777777" w:rsidR="00A45202" w:rsidRPr="00E82C15" w:rsidRDefault="00A45202" w:rsidP="00E82C15">
            <w:pPr>
              <w:spacing w:line="276" w:lineRule="auto"/>
              <w:jc w:val="right"/>
              <w:rPr>
                <w:rFonts w:ascii="Arial" w:hAnsi="Arial" w:cs="Arial"/>
                <w:color w:val="222222"/>
              </w:rPr>
            </w:pPr>
            <w:r w:rsidRPr="00E82C15">
              <w:rPr>
                <w:rFonts w:ascii="Arial" w:hAnsi="Arial" w:cs="Arial"/>
                <w:color w:val="222222"/>
              </w:rPr>
              <w:t>150.000,00</w:t>
            </w:r>
          </w:p>
        </w:tc>
        <w:tc>
          <w:tcPr>
            <w:tcW w:w="2560" w:type="dxa"/>
          </w:tcPr>
          <w:p w14:paraId="6649939F" w14:textId="77777777" w:rsidR="00A45202" w:rsidRPr="00E82C15" w:rsidRDefault="00A45202" w:rsidP="00E82C15">
            <w:pPr>
              <w:spacing w:line="276" w:lineRule="auto"/>
              <w:jc w:val="right"/>
              <w:rPr>
                <w:rFonts w:ascii="Arial" w:hAnsi="Arial" w:cs="Arial"/>
                <w:color w:val="222222"/>
              </w:rPr>
            </w:pPr>
            <w:r w:rsidRPr="00E82C15">
              <w:rPr>
                <w:rFonts w:ascii="Arial" w:hAnsi="Arial" w:cs="Arial"/>
                <w:color w:val="222222"/>
              </w:rPr>
              <w:t>Ayuntamientos</w:t>
            </w:r>
          </w:p>
        </w:tc>
      </w:tr>
      <w:tr w:rsidR="00A45202" w:rsidRPr="00E82C15" w14:paraId="769EEFAB" w14:textId="77777777" w:rsidTr="00995671">
        <w:tc>
          <w:tcPr>
            <w:tcW w:w="3651" w:type="dxa"/>
          </w:tcPr>
          <w:p w14:paraId="3D2FE767" w14:textId="77777777" w:rsidR="00A45202" w:rsidRPr="00E82C15" w:rsidRDefault="00A45202" w:rsidP="00E82C15">
            <w:pPr>
              <w:spacing w:line="276" w:lineRule="auto"/>
              <w:rPr>
                <w:rFonts w:ascii="Arial" w:hAnsi="Arial" w:cs="Arial"/>
                <w:color w:val="222222"/>
              </w:rPr>
            </w:pPr>
            <w:r w:rsidRPr="00E82C15">
              <w:rPr>
                <w:rFonts w:ascii="Arial" w:hAnsi="Arial" w:cs="Arial"/>
                <w:color w:val="222222"/>
              </w:rPr>
              <w:t>Subvenciones gestión de ruinas (BOP 26 enero 2024)</w:t>
            </w:r>
          </w:p>
        </w:tc>
        <w:tc>
          <w:tcPr>
            <w:tcW w:w="2560" w:type="dxa"/>
          </w:tcPr>
          <w:p w14:paraId="71CD33CE" w14:textId="77777777" w:rsidR="00A45202" w:rsidRPr="00E82C15" w:rsidRDefault="00A45202" w:rsidP="00E82C15">
            <w:pPr>
              <w:spacing w:line="276" w:lineRule="auto"/>
              <w:jc w:val="right"/>
              <w:rPr>
                <w:rFonts w:ascii="Arial" w:hAnsi="Arial" w:cs="Arial"/>
                <w:color w:val="222222"/>
              </w:rPr>
            </w:pPr>
            <w:r w:rsidRPr="00E82C15">
              <w:rPr>
                <w:rFonts w:ascii="Arial" w:hAnsi="Arial" w:cs="Arial"/>
                <w:color w:val="222222"/>
              </w:rPr>
              <w:t>150.000,00</w:t>
            </w:r>
          </w:p>
        </w:tc>
        <w:tc>
          <w:tcPr>
            <w:tcW w:w="2560" w:type="dxa"/>
          </w:tcPr>
          <w:p w14:paraId="68495A6C" w14:textId="77777777" w:rsidR="00A45202" w:rsidRPr="00E82C15" w:rsidRDefault="00A45202" w:rsidP="00E82C15">
            <w:pPr>
              <w:spacing w:line="276" w:lineRule="auto"/>
              <w:jc w:val="right"/>
              <w:rPr>
                <w:rFonts w:ascii="Arial" w:hAnsi="Arial" w:cs="Arial"/>
                <w:color w:val="222222"/>
              </w:rPr>
            </w:pPr>
            <w:r w:rsidRPr="00E82C15">
              <w:rPr>
                <w:rFonts w:ascii="Arial" w:hAnsi="Arial" w:cs="Arial"/>
                <w:color w:val="222222"/>
              </w:rPr>
              <w:t>Ayuntamientos</w:t>
            </w:r>
          </w:p>
          <w:p w14:paraId="611ED359" w14:textId="77777777" w:rsidR="00A45202" w:rsidRPr="00E82C15" w:rsidRDefault="00A45202" w:rsidP="00E82C15">
            <w:pPr>
              <w:spacing w:line="276" w:lineRule="auto"/>
              <w:jc w:val="right"/>
              <w:rPr>
                <w:rFonts w:ascii="Arial" w:hAnsi="Arial" w:cs="Arial"/>
                <w:color w:val="222222"/>
              </w:rPr>
            </w:pPr>
            <w:r w:rsidRPr="00E82C15">
              <w:rPr>
                <w:rFonts w:ascii="Arial" w:hAnsi="Arial" w:cs="Arial"/>
                <w:color w:val="222222"/>
              </w:rPr>
              <w:t>Particulares</w:t>
            </w:r>
          </w:p>
        </w:tc>
      </w:tr>
      <w:tr w:rsidR="00A45202" w:rsidRPr="00E82C15" w14:paraId="61CE312C" w14:textId="77777777" w:rsidTr="00995671">
        <w:tc>
          <w:tcPr>
            <w:tcW w:w="3651" w:type="dxa"/>
          </w:tcPr>
          <w:p w14:paraId="4A5D7A5E" w14:textId="77777777" w:rsidR="00A45202" w:rsidRPr="00E82C15" w:rsidRDefault="00A45202" w:rsidP="00E82C15">
            <w:pPr>
              <w:spacing w:line="276" w:lineRule="auto"/>
              <w:rPr>
                <w:rFonts w:ascii="Arial" w:hAnsi="Arial" w:cs="Arial"/>
                <w:color w:val="222222"/>
              </w:rPr>
            </w:pPr>
            <w:r w:rsidRPr="00E82C15">
              <w:rPr>
                <w:rFonts w:ascii="Arial" w:hAnsi="Arial" w:cs="Arial"/>
                <w:color w:val="222222"/>
              </w:rPr>
              <w:t>Elaboración de Inventarios municipales</w:t>
            </w:r>
          </w:p>
        </w:tc>
        <w:tc>
          <w:tcPr>
            <w:tcW w:w="2560" w:type="dxa"/>
          </w:tcPr>
          <w:p w14:paraId="7F2C3CBD" w14:textId="77777777" w:rsidR="00A45202" w:rsidRPr="00E82C15" w:rsidRDefault="00A45202" w:rsidP="00E82C15">
            <w:pPr>
              <w:spacing w:line="276" w:lineRule="auto"/>
              <w:jc w:val="right"/>
              <w:rPr>
                <w:rFonts w:ascii="Arial" w:hAnsi="Arial" w:cs="Arial"/>
                <w:color w:val="222222"/>
              </w:rPr>
            </w:pPr>
            <w:r w:rsidRPr="00E82C15">
              <w:rPr>
                <w:rFonts w:ascii="Arial" w:hAnsi="Arial" w:cs="Arial"/>
                <w:color w:val="222222"/>
              </w:rPr>
              <w:t>30.000,00</w:t>
            </w:r>
          </w:p>
        </w:tc>
        <w:tc>
          <w:tcPr>
            <w:tcW w:w="2560" w:type="dxa"/>
          </w:tcPr>
          <w:p w14:paraId="5F2321A2" w14:textId="77777777" w:rsidR="00A45202" w:rsidRPr="00E82C15" w:rsidRDefault="00A45202" w:rsidP="00E82C15">
            <w:pPr>
              <w:spacing w:line="276" w:lineRule="auto"/>
              <w:jc w:val="right"/>
              <w:rPr>
                <w:rFonts w:ascii="Arial" w:hAnsi="Arial" w:cs="Arial"/>
                <w:color w:val="222222"/>
              </w:rPr>
            </w:pPr>
            <w:r w:rsidRPr="00E82C15">
              <w:rPr>
                <w:rFonts w:ascii="Arial" w:hAnsi="Arial" w:cs="Arial"/>
                <w:color w:val="222222"/>
              </w:rPr>
              <w:t>Ayuntamientos</w:t>
            </w:r>
          </w:p>
        </w:tc>
      </w:tr>
    </w:tbl>
    <w:p w14:paraId="6828156B" w14:textId="0C3BE0DA" w:rsidR="00A45202" w:rsidRPr="00E82C15" w:rsidRDefault="00480B4B" w:rsidP="00E82C15">
      <w:pPr>
        <w:pStyle w:val="Citadestacada"/>
        <w:spacing w:line="276" w:lineRule="auto"/>
        <w:rPr>
          <w:rFonts w:ascii="Arial" w:hAnsi="Arial" w:cs="Arial"/>
          <w:b/>
          <w:bCs/>
        </w:rPr>
      </w:pPr>
      <w:r w:rsidRPr="00E82C15">
        <w:rPr>
          <w:rFonts w:ascii="Arial" w:hAnsi="Arial" w:cs="Arial"/>
          <w:b/>
          <w:bCs/>
        </w:rPr>
        <w:t>PREVISIÓN FORMACIÓN</w:t>
      </w:r>
      <w:r w:rsidR="00C679F4" w:rsidRPr="00E82C15">
        <w:rPr>
          <w:rFonts w:ascii="Arial" w:hAnsi="Arial" w:cs="Arial"/>
          <w:b/>
          <w:bCs/>
        </w:rPr>
        <w:t xml:space="preserve"> 2024</w:t>
      </w:r>
    </w:p>
    <w:tbl>
      <w:tblPr>
        <w:tblStyle w:val="Tablaconcuadrcula"/>
        <w:tblW w:w="0" w:type="auto"/>
        <w:tblLook w:val="04A0" w:firstRow="1" w:lastRow="0" w:firstColumn="1" w:lastColumn="0" w:noHBand="0" w:noVBand="1"/>
      </w:tblPr>
      <w:tblGrid>
        <w:gridCol w:w="8771"/>
      </w:tblGrid>
      <w:tr w:rsidR="00A45202" w:rsidRPr="00E82C15" w14:paraId="49877F24" w14:textId="77777777" w:rsidTr="00995671">
        <w:tc>
          <w:tcPr>
            <w:tcW w:w="8771" w:type="dxa"/>
          </w:tcPr>
          <w:p w14:paraId="64CA8CC6" w14:textId="0CE321E4" w:rsidR="00A45202" w:rsidRPr="00E82C15" w:rsidRDefault="00A45202" w:rsidP="00E82C15">
            <w:pPr>
              <w:pStyle w:val="Prrafodelista"/>
              <w:numPr>
                <w:ilvl w:val="0"/>
                <w:numId w:val="6"/>
              </w:numPr>
              <w:spacing w:line="276" w:lineRule="auto"/>
              <w:rPr>
                <w:rFonts w:ascii="Arial" w:hAnsi="Arial" w:cs="Arial"/>
                <w:color w:val="222222"/>
              </w:rPr>
            </w:pPr>
            <w:r w:rsidRPr="00E82C15">
              <w:rPr>
                <w:rFonts w:ascii="Arial" w:hAnsi="Arial" w:cs="Arial"/>
                <w:color w:val="222222"/>
              </w:rPr>
              <w:t>Cursos INAP. 1º semestre</w:t>
            </w:r>
            <w:r w:rsidR="005A7C3B" w:rsidRPr="00E82C15">
              <w:rPr>
                <w:rFonts w:ascii="Arial" w:hAnsi="Arial" w:cs="Arial"/>
                <w:color w:val="222222"/>
              </w:rPr>
              <w:t>:</w:t>
            </w:r>
          </w:p>
        </w:tc>
      </w:tr>
      <w:tr w:rsidR="00A45202" w:rsidRPr="00E82C15" w14:paraId="2B1BE6B1" w14:textId="77777777" w:rsidTr="00995671">
        <w:tc>
          <w:tcPr>
            <w:tcW w:w="8771" w:type="dxa"/>
          </w:tcPr>
          <w:p w14:paraId="6E25618A" w14:textId="6FD12E7B" w:rsidR="00A45202" w:rsidRPr="00E82C15" w:rsidRDefault="005A7C3B" w:rsidP="00E82C15">
            <w:pPr>
              <w:pStyle w:val="Prrafodelista"/>
              <w:spacing w:line="276" w:lineRule="auto"/>
              <w:ind w:left="0"/>
              <w:rPr>
                <w:rFonts w:ascii="Arial" w:hAnsi="Arial" w:cs="Arial"/>
                <w:color w:val="222222"/>
              </w:rPr>
            </w:pPr>
            <w:r w:rsidRPr="00E82C15">
              <w:rPr>
                <w:rFonts w:ascii="Arial" w:hAnsi="Arial" w:cs="Arial"/>
                <w:color w:val="222222"/>
              </w:rPr>
              <w:t>La reactivación de las reglas fiscales en 2024</w:t>
            </w:r>
            <w:r w:rsidR="00EA1517">
              <w:rPr>
                <w:rFonts w:ascii="Arial" w:hAnsi="Arial" w:cs="Arial"/>
                <w:color w:val="222222"/>
              </w:rPr>
              <w:t>.</w:t>
            </w:r>
            <w:r w:rsidRPr="00E82C15">
              <w:rPr>
                <w:rFonts w:ascii="Arial" w:hAnsi="Arial" w:cs="Arial"/>
                <w:color w:val="222222"/>
              </w:rPr>
              <w:t xml:space="preserve"> Cómo va a afectar a la gestión económico financiera en los pequeños y medianos municipios. Control del órgano interventor</w:t>
            </w:r>
          </w:p>
        </w:tc>
      </w:tr>
      <w:tr w:rsidR="00A45202" w:rsidRPr="00E82C15" w14:paraId="1BE7313C" w14:textId="77777777" w:rsidTr="00995671">
        <w:tc>
          <w:tcPr>
            <w:tcW w:w="8771" w:type="dxa"/>
          </w:tcPr>
          <w:p w14:paraId="1F41019A" w14:textId="77777777" w:rsidR="00A45202" w:rsidRPr="00E82C15" w:rsidRDefault="00A45202" w:rsidP="00E82C15">
            <w:pPr>
              <w:pStyle w:val="Prrafodelista"/>
              <w:numPr>
                <w:ilvl w:val="0"/>
                <w:numId w:val="6"/>
              </w:numPr>
              <w:spacing w:line="276" w:lineRule="auto"/>
              <w:rPr>
                <w:rFonts w:ascii="Arial" w:hAnsi="Arial" w:cs="Arial"/>
                <w:color w:val="222222"/>
              </w:rPr>
            </w:pPr>
            <w:r w:rsidRPr="00E82C15">
              <w:rPr>
                <w:rFonts w:ascii="Arial" w:hAnsi="Arial" w:cs="Arial"/>
                <w:color w:val="222222"/>
              </w:rPr>
              <w:t>Cursos FRMP: 2º semestre. Pendiente de propuesta</w:t>
            </w:r>
          </w:p>
        </w:tc>
      </w:tr>
      <w:tr w:rsidR="00A45202" w:rsidRPr="00E82C15" w14:paraId="55D09CF9" w14:textId="77777777" w:rsidTr="00995671">
        <w:tc>
          <w:tcPr>
            <w:tcW w:w="8771" w:type="dxa"/>
          </w:tcPr>
          <w:p w14:paraId="0F589ECB" w14:textId="77777777" w:rsidR="00A45202" w:rsidRPr="00E82C15" w:rsidRDefault="00A45202" w:rsidP="00E82C15">
            <w:pPr>
              <w:pStyle w:val="Prrafodelista"/>
              <w:numPr>
                <w:ilvl w:val="0"/>
                <w:numId w:val="6"/>
              </w:numPr>
              <w:spacing w:line="276" w:lineRule="auto"/>
              <w:rPr>
                <w:rFonts w:ascii="Arial" w:hAnsi="Arial" w:cs="Arial"/>
                <w:color w:val="222222"/>
              </w:rPr>
            </w:pPr>
            <w:r w:rsidRPr="00E82C15">
              <w:rPr>
                <w:rFonts w:ascii="Arial" w:hAnsi="Arial" w:cs="Arial"/>
                <w:color w:val="222222"/>
              </w:rPr>
              <w:t>Formación continua módulos GESTIONA</w:t>
            </w:r>
          </w:p>
        </w:tc>
      </w:tr>
    </w:tbl>
    <w:p w14:paraId="3F22E462" w14:textId="77777777" w:rsidR="00A45202" w:rsidRPr="00E82C15" w:rsidRDefault="00A45202" w:rsidP="00E82C15">
      <w:pPr>
        <w:spacing w:line="276" w:lineRule="auto"/>
        <w:rPr>
          <w:rFonts w:ascii="Arial" w:hAnsi="Arial" w:cs="Arial"/>
          <w:color w:val="222222"/>
        </w:rPr>
      </w:pPr>
    </w:p>
    <w:p w14:paraId="38A05AF8" w14:textId="77777777" w:rsidR="00A45202" w:rsidRPr="00E82C15" w:rsidRDefault="00A45202" w:rsidP="00E82C15">
      <w:pPr>
        <w:pStyle w:val="Prrafodelista"/>
        <w:spacing w:line="276" w:lineRule="auto"/>
        <w:ind w:left="810"/>
        <w:jc w:val="both"/>
        <w:rPr>
          <w:rFonts w:ascii="Arial" w:hAnsi="Arial" w:cs="Arial"/>
        </w:rPr>
      </w:pPr>
    </w:p>
    <w:p w14:paraId="3EF0600A" w14:textId="77777777" w:rsidR="00A45202" w:rsidRPr="00E82C15" w:rsidRDefault="00A45202" w:rsidP="00E82C15">
      <w:pPr>
        <w:pStyle w:val="NormalWeb"/>
        <w:spacing w:before="0" w:beforeAutospacing="0" w:after="0" w:afterAutospacing="0" w:line="276" w:lineRule="auto"/>
        <w:jc w:val="center"/>
        <w:rPr>
          <w:rFonts w:ascii="Arial" w:hAnsi="Arial" w:cs="Arial"/>
          <w:sz w:val="24"/>
          <w:szCs w:val="24"/>
        </w:rPr>
      </w:pPr>
      <w:r w:rsidRPr="00E82C15">
        <w:rPr>
          <w:rFonts w:ascii="Arial" w:hAnsi="Arial" w:cs="Arial"/>
          <w:sz w:val="24"/>
          <w:szCs w:val="24"/>
        </w:rPr>
        <w:t>Palencia, Febrero de 2024</w:t>
      </w:r>
    </w:p>
    <w:p w14:paraId="26A146D0" w14:textId="4ACE9340" w:rsidR="00A45202" w:rsidRPr="00E82C15" w:rsidRDefault="00A45202" w:rsidP="00E82C15">
      <w:pPr>
        <w:pStyle w:val="NormalWeb"/>
        <w:spacing w:before="0" w:beforeAutospacing="0" w:after="0" w:afterAutospacing="0" w:line="276" w:lineRule="auto"/>
        <w:jc w:val="center"/>
        <w:rPr>
          <w:rFonts w:ascii="Arial" w:hAnsi="Arial" w:cs="Arial"/>
          <w:sz w:val="24"/>
          <w:szCs w:val="24"/>
        </w:rPr>
      </w:pPr>
      <w:r w:rsidRPr="00E82C15">
        <w:rPr>
          <w:rFonts w:ascii="Arial" w:hAnsi="Arial" w:cs="Arial"/>
          <w:sz w:val="24"/>
          <w:szCs w:val="24"/>
        </w:rPr>
        <w:t>Mar Moreno Esteban</w:t>
      </w:r>
    </w:p>
    <w:p w14:paraId="71F3C834" w14:textId="30545772" w:rsidR="005738C4" w:rsidRPr="00E82C15" w:rsidRDefault="005738C4" w:rsidP="00E82C15">
      <w:pPr>
        <w:pStyle w:val="NormalWeb"/>
        <w:spacing w:before="0" w:beforeAutospacing="0" w:after="0" w:afterAutospacing="0" w:line="276" w:lineRule="auto"/>
        <w:jc w:val="center"/>
        <w:rPr>
          <w:rFonts w:ascii="Arial" w:hAnsi="Arial" w:cs="Arial"/>
          <w:sz w:val="24"/>
          <w:szCs w:val="24"/>
        </w:rPr>
      </w:pPr>
    </w:p>
    <w:p w14:paraId="2EAB8143" w14:textId="66EFB174" w:rsidR="005738C4" w:rsidRPr="00E82C15" w:rsidRDefault="005738C4" w:rsidP="00E82C15">
      <w:pPr>
        <w:pStyle w:val="NormalWeb"/>
        <w:spacing w:before="0" w:beforeAutospacing="0" w:after="0" w:afterAutospacing="0" w:line="276" w:lineRule="auto"/>
        <w:jc w:val="center"/>
        <w:rPr>
          <w:rFonts w:ascii="Arial" w:hAnsi="Arial" w:cs="Arial"/>
          <w:sz w:val="24"/>
          <w:szCs w:val="24"/>
        </w:rPr>
      </w:pPr>
    </w:p>
    <w:p w14:paraId="14779A4B" w14:textId="77777777" w:rsidR="00F46E08" w:rsidRPr="00E82C15" w:rsidRDefault="00F46E08" w:rsidP="00E82C15">
      <w:pPr>
        <w:pStyle w:val="NormalWeb"/>
        <w:spacing w:before="0" w:beforeAutospacing="0" w:after="0" w:afterAutospacing="0" w:line="276" w:lineRule="auto"/>
        <w:jc w:val="center"/>
        <w:rPr>
          <w:rFonts w:ascii="Arial" w:hAnsi="Arial" w:cs="Arial"/>
          <w:sz w:val="24"/>
          <w:szCs w:val="24"/>
        </w:rPr>
      </w:pPr>
    </w:p>
    <w:p w14:paraId="5A137407" w14:textId="37571E8A" w:rsidR="005738C4" w:rsidRPr="00E82C15" w:rsidRDefault="005738C4" w:rsidP="00E82C15">
      <w:pPr>
        <w:pStyle w:val="NormalWeb"/>
        <w:spacing w:before="0" w:beforeAutospacing="0" w:after="0" w:afterAutospacing="0" w:line="276" w:lineRule="auto"/>
        <w:jc w:val="center"/>
        <w:rPr>
          <w:rFonts w:ascii="Arial" w:hAnsi="Arial" w:cs="Arial"/>
          <w:sz w:val="24"/>
          <w:szCs w:val="24"/>
        </w:rPr>
      </w:pPr>
    </w:p>
    <w:p w14:paraId="243B607D" w14:textId="6D0BD2CD" w:rsidR="005738C4" w:rsidRPr="00E82C15" w:rsidRDefault="005738C4" w:rsidP="00E82C15">
      <w:pPr>
        <w:pStyle w:val="NormalWeb"/>
        <w:spacing w:before="0" w:beforeAutospacing="0" w:after="0" w:afterAutospacing="0" w:line="276" w:lineRule="auto"/>
        <w:jc w:val="center"/>
        <w:rPr>
          <w:rFonts w:ascii="Arial" w:hAnsi="Arial" w:cs="Arial"/>
          <w:sz w:val="24"/>
          <w:szCs w:val="24"/>
        </w:rPr>
      </w:pPr>
    </w:p>
    <w:p w14:paraId="79A30345" w14:textId="7DC1778E" w:rsidR="006D6BDE" w:rsidRPr="00E82C15" w:rsidRDefault="006D6BDE" w:rsidP="00E82C15">
      <w:pPr>
        <w:pStyle w:val="NormalWeb"/>
        <w:spacing w:before="0" w:beforeAutospacing="0" w:after="0" w:afterAutospacing="0" w:line="276" w:lineRule="auto"/>
        <w:jc w:val="center"/>
        <w:rPr>
          <w:rFonts w:ascii="Arial" w:hAnsi="Arial" w:cs="Arial"/>
          <w:sz w:val="24"/>
          <w:szCs w:val="24"/>
        </w:rPr>
      </w:pPr>
    </w:p>
    <w:p w14:paraId="02148EC8" w14:textId="69B63C6F" w:rsidR="006D6BDE" w:rsidRPr="00E82C15" w:rsidRDefault="006D6BDE" w:rsidP="00E82C15">
      <w:pPr>
        <w:pStyle w:val="NormalWeb"/>
        <w:spacing w:before="0" w:beforeAutospacing="0" w:after="0" w:afterAutospacing="0" w:line="276" w:lineRule="auto"/>
        <w:jc w:val="center"/>
        <w:rPr>
          <w:rFonts w:ascii="Arial" w:hAnsi="Arial" w:cs="Arial"/>
          <w:sz w:val="24"/>
          <w:szCs w:val="24"/>
        </w:rPr>
      </w:pPr>
    </w:p>
    <w:p w14:paraId="0F396DDC" w14:textId="29383AE2" w:rsidR="006D6BDE" w:rsidRPr="00E82C15" w:rsidRDefault="006D6BDE" w:rsidP="00E82C15">
      <w:pPr>
        <w:pStyle w:val="NormalWeb"/>
        <w:spacing w:before="0" w:beforeAutospacing="0" w:after="0" w:afterAutospacing="0" w:line="276" w:lineRule="auto"/>
        <w:jc w:val="center"/>
        <w:rPr>
          <w:rFonts w:ascii="Arial" w:hAnsi="Arial" w:cs="Arial"/>
          <w:sz w:val="24"/>
          <w:szCs w:val="24"/>
        </w:rPr>
      </w:pPr>
    </w:p>
    <w:p w14:paraId="6D37BF26" w14:textId="0EAD06D9" w:rsidR="006D6BDE" w:rsidRPr="00E82C15" w:rsidRDefault="006D6BDE" w:rsidP="00E82C15">
      <w:pPr>
        <w:pStyle w:val="NormalWeb"/>
        <w:spacing w:before="0" w:beforeAutospacing="0" w:after="0" w:afterAutospacing="0" w:line="276" w:lineRule="auto"/>
        <w:jc w:val="center"/>
        <w:rPr>
          <w:rFonts w:ascii="Arial" w:hAnsi="Arial" w:cs="Arial"/>
          <w:sz w:val="24"/>
          <w:szCs w:val="24"/>
        </w:rPr>
      </w:pPr>
    </w:p>
    <w:p w14:paraId="1EEC77FE" w14:textId="70C417D9" w:rsidR="006D6BDE" w:rsidRDefault="006D6BDE" w:rsidP="00A45202">
      <w:pPr>
        <w:pStyle w:val="NormalWeb"/>
        <w:spacing w:before="0" w:beforeAutospacing="0" w:after="0" w:afterAutospacing="0" w:line="276" w:lineRule="auto"/>
        <w:jc w:val="center"/>
        <w:rPr>
          <w:rFonts w:ascii="Arial" w:hAnsi="Arial" w:cs="Arial"/>
          <w:sz w:val="22"/>
          <w:szCs w:val="22"/>
        </w:rPr>
      </w:pPr>
    </w:p>
    <w:p w14:paraId="2DD3D219" w14:textId="322FE312" w:rsidR="006D6BDE" w:rsidRDefault="006D6BDE" w:rsidP="00A45202">
      <w:pPr>
        <w:pStyle w:val="NormalWeb"/>
        <w:spacing w:before="0" w:beforeAutospacing="0" w:after="0" w:afterAutospacing="0" w:line="276" w:lineRule="auto"/>
        <w:jc w:val="center"/>
        <w:rPr>
          <w:rFonts w:ascii="Arial" w:hAnsi="Arial" w:cs="Arial"/>
          <w:sz w:val="22"/>
          <w:szCs w:val="22"/>
        </w:rPr>
      </w:pPr>
    </w:p>
    <w:p w14:paraId="72270925" w14:textId="5E96C7F3" w:rsidR="006D6BDE" w:rsidRDefault="006D6BDE" w:rsidP="00A45202">
      <w:pPr>
        <w:pStyle w:val="NormalWeb"/>
        <w:spacing w:before="0" w:beforeAutospacing="0" w:after="0" w:afterAutospacing="0" w:line="276" w:lineRule="auto"/>
        <w:jc w:val="center"/>
        <w:rPr>
          <w:rFonts w:ascii="Arial" w:hAnsi="Arial" w:cs="Arial"/>
          <w:sz w:val="22"/>
          <w:szCs w:val="22"/>
        </w:rPr>
      </w:pPr>
    </w:p>
    <w:p w14:paraId="5981AAB0" w14:textId="5E7E13FA" w:rsidR="006D6BDE" w:rsidRDefault="006D6BDE" w:rsidP="00A45202">
      <w:pPr>
        <w:pStyle w:val="NormalWeb"/>
        <w:spacing w:before="0" w:beforeAutospacing="0" w:after="0" w:afterAutospacing="0" w:line="276" w:lineRule="auto"/>
        <w:jc w:val="center"/>
        <w:rPr>
          <w:rFonts w:ascii="Arial" w:hAnsi="Arial" w:cs="Arial"/>
          <w:sz w:val="22"/>
          <w:szCs w:val="22"/>
        </w:rPr>
      </w:pPr>
    </w:p>
    <w:p w14:paraId="25D14932" w14:textId="68F1C1CD" w:rsidR="006D6BDE" w:rsidRDefault="006D6BDE" w:rsidP="00A45202">
      <w:pPr>
        <w:pStyle w:val="NormalWeb"/>
        <w:spacing w:before="0" w:beforeAutospacing="0" w:after="0" w:afterAutospacing="0" w:line="276" w:lineRule="auto"/>
        <w:jc w:val="center"/>
        <w:rPr>
          <w:rFonts w:ascii="Arial" w:hAnsi="Arial" w:cs="Arial"/>
          <w:sz w:val="22"/>
          <w:szCs w:val="22"/>
        </w:rPr>
      </w:pPr>
    </w:p>
    <w:p w14:paraId="1DA4CFFC" w14:textId="56CBA959" w:rsidR="006D6BDE" w:rsidRDefault="006D6BDE" w:rsidP="00A45202">
      <w:pPr>
        <w:pStyle w:val="NormalWeb"/>
        <w:spacing w:before="0" w:beforeAutospacing="0" w:after="0" w:afterAutospacing="0" w:line="276" w:lineRule="auto"/>
        <w:jc w:val="center"/>
        <w:rPr>
          <w:rFonts w:ascii="Arial" w:hAnsi="Arial" w:cs="Arial"/>
          <w:sz w:val="22"/>
          <w:szCs w:val="22"/>
        </w:rPr>
      </w:pPr>
    </w:p>
    <w:p w14:paraId="5E2C9B04" w14:textId="7043C091" w:rsidR="006D6BDE" w:rsidRDefault="006D6BDE" w:rsidP="00A45202">
      <w:pPr>
        <w:pStyle w:val="NormalWeb"/>
        <w:spacing w:before="0" w:beforeAutospacing="0" w:after="0" w:afterAutospacing="0" w:line="276" w:lineRule="auto"/>
        <w:jc w:val="center"/>
        <w:rPr>
          <w:rFonts w:ascii="Arial" w:hAnsi="Arial" w:cs="Arial"/>
          <w:sz w:val="22"/>
          <w:szCs w:val="22"/>
        </w:rPr>
      </w:pPr>
    </w:p>
    <w:p w14:paraId="723F6BE4" w14:textId="061AF55B" w:rsidR="006D6BDE" w:rsidRDefault="006D6BDE" w:rsidP="00A45202">
      <w:pPr>
        <w:pStyle w:val="NormalWeb"/>
        <w:spacing w:before="0" w:beforeAutospacing="0" w:after="0" w:afterAutospacing="0" w:line="276" w:lineRule="auto"/>
        <w:jc w:val="center"/>
        <w:rPr>
          <w:rFonts w:ascii="Arial" w:hAnsi="Arial" w:cs="Arial"/>
          <w:sz w:val="22"/>
          <w:szCs w:val="22"/>
        </w:rPr>
      </w:pPr>
    </w:p>
    <w:p w14:paraId="53434A59" w14:textId="57880B34" w:rsidR="006D6BDE" w:rsidRDefault="006D6BDE" w:rsidP="00A45202">
      <w:pPr>
        <w:pStyle w:val="NormalWeb"/>
        <w:spacing w:before="0" w:beforeAutospacing="0" w:after="0" w:afterAutospacing="0" w:line="276" w:lineRule="auto"/>
        <w:jc w:val="center"/>
        <w:rPr>
          <w:rFonts w:ascii="Arial" w:hAnsi="Arial" w:cs="Arial"/>
          <w:sz w:val="22"/>
          <w:szCs w:val="22"/>
        </w:rPr>
      </w:pPr>
    </w:p>
    <w:p w14:paraId="19229FB0" w14:textId="6054D596" w:rsidR="006D6BDE" w:rsidRDefault="006D6BDE" w:rsidP="00A45202">
      <w:pPr>
        <w:pStyle w:val="NormalWeb"/>
        <w:spacing w:before="0" w:beforeAutospacing="0" w:after="0" w:afterAutospacing="0" w:line="276" w:lineRule="auto"/>
        <w:jc w:val="center"/>
        <w:rPr>
          <w:rFonts w:ascii="Arial" w:hAnsi="Arial" w:cs="Arial"/>
          <w:sz w:val="22"/>
          <w:szCs w:val="22"/>
        </w:rPr>
      </w:pPr>
    </w:p>
    <w:p w14:paraId="3192D39A" w14:textId="68CC9B4D" w:rsidR="006D6BDE" w:rsidRDefault="006D6BDE" w:rsidP="00A45202">
      <w:pPr>
        <w:pStyle w:val="NormalWeb"/>
        <w:spacing w:before="0" w:beforeAutospacing="0" w:after="0" w:afterAutospacing="0" w:line="276" w:lineRule="auto"/>
        <w:jc w:val="center"/>
        <w:rPr>
          <w:rFonts w:ascii="Arial" w:hAnsi="Arial" w:cs="Arial"/>
          <w:sz w:val="22"/>
          <w:szCs w:val="22"/>
        </w:rPr>
      </w:pPr>
    </w:p>
    <w:p w14:paraId="0C6EC972" w14:textId="1132C02E" w:rsidR="006D6BDE" w:rsidRDefault="006D6BDE" w:rsidP="00A45202">
      <w:pPr>
        <w:pStyle w:val="NormalWeb"/>
        <w:spacing w:before="0" w:beforeAutospacing="0" w:after="0" w:afterAutospacing="0" w:line="276" w:lineRule="auto"/>
        <w:jc w:val="center"/>
        <w:rPr>
          <w:rFonts w:ascii="Arial" w:hAnsi="Arial" w:cs="Arial"/>
          <w:sz w:val="22"/>
          <w:szCs w:val="22"/>
        </w:rPr>
      </w:pPr>
    </w:p>
    <w:p w14:paraId="63036D2A" w14:textId="157FD6E7" w:rsidR="006D6BDE" w:rsidRDefault="006D6BDE" w:rsidP="00A45202">
      <w:pPr>
        <w:pStyle w:val="NormalWeb"/>
        <w:spacing w:before="0" w:beforeAutospacing="0" w:after="0" w:afterAutospacing="0" w:line="276" w:lineRule="auto"/>
        <w:jc w:val="center"/>
        <w:rPr>
          <w:rFonts w:ascii="Arial" w:hAnsi="Arial" w:cs="Arial"/>
          <w:sz w:val="22"/>
          <w:szCs w:val="22"/>
        </w:rPr>
      </w:pPr>
    </w:p>
    <w:p w14:paraId="64640BF2" w14:textId="6D2B2D4F" w:rsidR="006D6BDE" w:rsidRDefault="006D6BDE" w:rsidP="00A45202">
      <w:pPr>
        <w:pStyle w:val="NormalWeb"/>
        <w:spacing w:before="0" w:beforeAutospacing="0" w:after="0" w:afterAutospacing="0" w:line="276" w:lineRule="auto"/>
        <w:jc w:val="center"/>
        <w:rPr>
          <w:rFonts w:ascii="Arial" w:hAnsi="Arial" w:cs="Arial"/>
          <w:sz w:val="22"/>
          <w:szCs w:val="22"/>
        </w:rPr>
      </w:pPr>
    </w:p>
    <w:p w14:paraId="2C762D35" w14:textId="77777777" w:rsidR="006D6BDE" w:rsidRDefault="006D6BDE" w:rsidP="00A45202">
      <w:pPr>
        <w:pStyle w:val="NormalWeb"/>
        <w:spacing w:before="0" w:beforeAutospacing="0" w:after="0" w:afterAutospacing="0" w:line="276" w:lineRule="auto"/>
        <w:jc w:val="center"/>
        <w:rPr>
          <w:rFonts w:ascii="Arial" w:hAnsi="Arial" w:cs="Arial"/>
          <w:sz w:val="22"/>
          <w:szCs w:val="22"/>
        </w:rPr>
      </w:pPr>
    </w:p>
    <w:p w14:paraId="08F34610" w14:textId="77D384F6" w:rsidR="005738C4" w:rsidRDefault="005738C4" w:rsidP="00A45202">
      <w:pPr>
        <w:pStyle w:val="NormalWeb"/>
        <w:spacing w:before="0" w:beforeAutospacing="0" w:after="0" w:afterAutospacing="0" w:line="276" w:lineRule="auto"/>
        <w:jc w:val="center"/>
        <w:rPr>
          <w:rFonts w:ascii="Arial" w:hAnsi="Arial" w:cs="Arial"/>
          <w:sz w:val="22"/>
          <w:szCs w:val="22"/>
        </w:rPr>
      </w:pPr>
    </w:p>
    <w:p w14:paraId="08A0D791" w14:textId="1D7A9571" w:rsidR="005738C4" w:rsidRDefault="005738C4" w:rsidP="00A45202">
      <w:pPr>
        <w:pStyle w:val="NormalWeb"/>
        <w:spacing w:before="0" w:beforeAutospacing="0" w:after="0" w:afterAutospacing="0" w:line="276" w:lineRule="auto"/>
        <w:jc w:val="center"/>
        <w:rPr>
          <w:rFonts w:ascii="Arial" w:hAnsi="Arial" w:cs="Arial"/>
          <w:sz w:val="22"/>
          <w:szCs w:val="22"/>
        </w:rPr>
      </w:pPr>
    </w:p>
    <w:p w14:paraId="02C3D9A2" w14:textId="6A6BBFD6" w:rsidR="005738C4" w:rsidRPr="0000450E" w:rsidRDefault="00480B4B" w:rsidP="0000450E">
      <w:pPr>
        <w:pStyle w:val="Citadestacada"/>
        <w:rPr>
          <w:b/>
          <w:bCs/>
          <w:sz w:val="28"/>
          <w:szCs w:val="28"/>
        </w:rPr>
      </w:pPr>
      <w:bookmarkStart w:id="0" w:name="_Hlk158034496"/>
      <w:r w:rsidRPr="0000450E">
        <w:rPr>
          <w:b/>
          <w:bCs/>
          <w:sz w:val="28"/>
          <w:szCs w:val="28"/>
        </w:rPr>
        <w:t>ORGANIGRAMA S.A.M.</w:t>
      </w:r>
    </w:p>
    <w:p w14:paraId="6AB30673" w14:textId="77777777" w:rsidR="005738C4" w:rsidRPr="0052505A" w:rsidRDefault="005738C4" w:rsidP="00A45202">
      <w:pPr>
        <w:pStyle w:val="NormalWeb"/>
        <w:spacing w:before="0" w:beforeAutospacing="0" w:after="0" w:afterAutospacing="0" w:line="276" w:lineRule="auto"/>
        <w:jc w:val="center"/>
        <w:rPr>
          <w:rFonts w:ascii="Arial" w:hAnsi="Arial" w:cs="Arial"/>
          <w:sz w:val="22"/>
          <w:szCs w:val="22"/>
        </w:rPr>
      </w:pPr>
    </w:p>
    <w:p w14:paraId="3ACA9E03" w14:textId="6812A9E8" w:rsidR="002D62E0" w:rsidRPr="00480B4B" w:rsidRDefault="00F46E08" w:rsidP="00A45202">
      <w:pPr>
        <w:tabs>
          <w:tab w:val="left" w:pos="2636"/>
        </w:tabs>
        <w:jc w:val="center"/>
        <w:rPr>
          <w:rFonts w:ascii="Arial" w:hAnsi="Arial" w:cs="Arial"/>
          <w:sz w:val="28"/>
          <w:szCs w:val="28"/>
        </w:rPr>
      </w:pPr>
      <w:r w:rsidRPr="00480B4B">
        <w:rPr>
          <w:rFonts w:ascii="Arial" w:eastAsia="Calibri" w:hAnsi="Arial" w:cs="Arial"/>
          <w:noProof/>
          <w:sz w:val="28"/>
          <w:szCs w:val="28"/>
          <w:lang w:eastAsia="en-US"/>
        </w:rPr>
        <w:drawing>
          <wp:inline distT="0" distB="0" distL="0" distR="0" wp14:anchorId="2F0D1A20" wp14:editId="762648DD">
            <wp:extent cx="5967003" cy="370522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687572" name="Imagen 404687572"/>
                    <pic:cNvPicPr/>
                  </pic:nvPicPr>
                  <pic:blipFill rotWithShape="1">
                    <a:blip r:embed="rId20"/>
                    <a:srcRect l="11318" t="1" b="2096"/>
                    <a:stretch/>
                  </pic:blipFill>
                  <pic:spPr bwMode="auto">
                    <a:xfrm>
                      <a:off x="0" y="0"/>
                      <a:ext cx="6013116" cy="3733859"/>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7963F55D" w14:textId="0FEBDFA7" w:rsidR="00045DCE" w:rsidRDefault="00045DCE" w:rsidP="00EB19F5">
      <w:pPr>
        <w:pStyle w:val="NormalWeb"/>
        <w:jc w:val="both"/>
        <w:rPr>
          <w:rFonts w:ascii="Arial" w:hAnsi="Arial" w:cs="Arial"/>
          <w:iCs/>
        </w:rPr>
      </w:pPr>
    </w:p>
    <w:sectPr w:rsidR="00045DCE" w:rsidSect="00FD0AAE">
      <w:headerReference w:type="default" r:id="rId21"/>
      <w:footerReference w:type="default" r:id="rId22"/>
      <w:pgSz w:w="11900" w:h="16840"/>
      <w:pgMar w:top="1701" w:right="1418" w:bottom="1588" w:left="170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EDA0" w14:textId="77777777" w:rsidR="0083151C" w:rsidRDefault="0083151C" w:rsidP="00272158">
      <w:r>
        <w:separator/>
      </w:r>
    </w:p>
  </w:endnote>
  <w:endnote w:type="continuationSeparator" w:id="0">
    <w:p w14:paraId="06A47656" w14:textId="77777777" w:rsidR="0083151C" w:rsidRDefault="0083151C" w:rsidP="0027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654815"/>
      <w:docPartObj>
        <w:docPartGallery w:val="Page Numbers (Bottom of Page)"/>
        <w:docPartUnique/>
      </w:docPartObj>
    </w:sdtPr>
    <w:sdtEndPr>
      <w:rPr>
        <w:rFonts w:ascii="Arial" w:hAnsi="Arial"/>
        <w:sz w:val="16"/>
      </w:rPr>
    </w:sdtEndPr>
    <w:sdtContent>
      <w:p w14:paraId="646366C0" w14:textId="779F4FB8" w:rsidR="00D0546A" w:rsidRPr="00272158" w:rsidRDefault="00D0546A">
        <w:pPr>
          <w:pStyle w:val="Piedepgina"/>
          <w:jc w:val="right"/>
          <w:rPr>
            <w:rFonts w:ascii="Arial" w:hAnsi="Arial"/>
            <w:sz w:val="16"/>
          </w:rPr>
        </w:pPr>
        <w:r w:rsidRPr="00272158">
          <w:rPr>
            <w:rFonts w:ascii="Arial" w:hAnsi="Arial"/>
            <w:sz w:val="16"/>
          </w:rPr>
          <w:fldChar w:fldCharType="begin"/>
        </w:r>
        <w:r w:rsidRPr="00272158">
          <w:rPr>
            <w:rFonts w:ascii="Arial" w:hAnsi="Arial"/>
            <w:sz w:val="16"/>
          </w:rPr>
          <w:instrText>PAGE   \* MERGEFORMAT</w:instrText>
        </w:r>
        <w:r w:rsidRPr="00272158">
          <w:rPr>
            <w:rFonts w:ascii="Arial" w:hAnsi="Arial"/>
            <w:sz w:val="16"/>
          </w:rPr>
          <w:fldChar w:fldCharType="separate"/>
        </w:r>
        <w:r w:rsidRPr="00CA7DAC">
          <w:rPr>
            <w:rFonts w:ascii="Arial" w:hAnsi="Arial"/>
            <w:noProof/>
            <w:sz w:val="16"/>
            <w:lang w:val="es-ES"/>
          </w:rPr>
          <w:t>13</w:t>
        </w:r>
        <w:r w:rsidRPr="00272158">
          <w:rPr>
            <w:rFonts w:ascii="Arial" w:hAnsi="Arial"/>
            <w:sz w:val="16"/>
          </w:rPr>
          <w:fldChar w:fldCharType="end"/>
        </w:r>
      </w:p>
    </w:sdtContent>
  </w:sdt>
  <w:p w14:paraId="6D65B5A0" w14:textId="77777777" w:rsidR="00D0546A" w:rsidRDefault="00D054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272D" w14:textId="77777777" w:rsidR="0083151C" w:rsidRDefault="0083151C" w:rsidP="00272158">
      <w:r>
        <w:separator/>
      </w:r>
    </w:p>
  </w:footnote>
  <w:footnote w:type="continuationSeparator" w:id="0">
    <w:p w14:paraId="6E64DA2A" w14:textId="77777777" w:rsidR="0083151C" w:rsidRDefault="0083151C" w:rsidP="0027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91B6" w14:textId="6EB3F7E7" w:rsidR="00D0546A" w:rsidRDefault="00D0546A">
    <w:pPr>
      <w:pStyle w:val="Encabezado"/>
    </w:pPr>
    <w:r w:rsidRPr="00272158">
      <w:rPr>
        <w:rFonts w:ascii="Calibri" w:eastAsia="Calibri" w:hAnsi="Calibri" w:cs="Times New Roman"/>
        <w:noProof/>
        <w:sz w:val="22"/>
        <w:szCs w:val="22"/>
        <w:lang w:eastAsia="es-ES_tradnl"/>
      </w:rPr>
      <w:drawing>
        <wp:inline distT="0" distB="0" distL="0" distR="0" wp14:anchorId="093A5C0C" wp14:editId="767DD033">
          <wp:extent cx="2625720" cy="847344"/>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57" cy="853907"/>
                  </a:xfrm>
                  <a:prstGeom prst="rect">
                    <a:avLst/>
                  </a:prstGeom>
                  <a:noFill/>
                  <a:ln>
                    <a:noFill/>
                  </a:ln>
                </pic:spPr>
              </pic:pic>
            </a:graphicData>
          </a:graphic>
        </wp:inline>
      </w:drawing>
    </w:r>
  </w:p>
  <w:p w14:paraId="4B19C313" w14:textId="77777777" w:rsidR="00D0546A" w:rsidRPr="00706684" w:rsidRDefault="00D0546A" w:rsidP="00F61815">
    <w:pPr>
      <w:tabs>
        <w:tab w:val="center" w:pos="4252"/>
        <w:tab w:val="right" w:pos="8504"/>
      </w:tabs>
      <w:jc w:val="both"/>
      <w:rPr>
        <w:rFonts w:ascii="Calibri" w:eastAsia="Calibri" w:hAnsi="Calibri"/>
        <w:noProof/>
        <w:sz w:val="16"/>
        <w:szCs w:val="18"/>
        <w:lang w:eastAsia="es-ES"/>
      </w:rPr>
    </w:pPr>
    <w:r w:rsidRPr="00706684">
      <w:rPr>
        <w:rFonts w:ascii="Calibri" w:eastAsia="Calibri" w:hAnsi="Calibri"/>
        <w:noProof/>
        <w:sz w:val="16"/>
        <w:szCs w:val="18"/>
        <w:lang w:eastAsia="es-ES"/>
      </w:rPr>
      <w:t>CDS-2013/00101</w:t>
    </w:r>
  </w:p>
  <w:p w14:paraId="0E4B8AF4" w14:textId="77777777" w:rsidR="00D0546A" w:rsidRDefault="00D054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9C3"/>
    <w:multiLevelType w:val="multilevel"/>
    <w:tmpl w:val="0C0A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64122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A53E69"/>
    <w:multiLevelType w:val="hybridMultilevel"/>
    <w:tmpl w:val="DFFEC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C97C70"/>
    <w:multiLevelType w:val="hybridMultilevel"/>
    <w:tmpl w:val="754667C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9C43A33"/>
    <w:multiLevelType w:val="hybridMultilevel"/>
    <w:tmpl w:val="307C6ABE"/>
    <w:lvl w:ilvl="0" w:tplc="6F68610A">
      <w:start w:val="1"/>
      <w:numFmt w:val="lowerLetter"/>
      <w:lvlText w:val="%1)"/>
      <w:lvlJc w:val="left"/>
      <w:pPr>
        <w:ind w:left="720" w:hanging="360"/>
      </w:pPr>
      <w:rPr>
        <w:rFonts w:hint="default"/>
        <w:i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59721C"/>
    <w:multiLevelType w:val="hybridMultilevel"/>
    <w:tmpl w:val="E058334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E442DF"/>
    <w:multiLevelType w:val="hybridMultilevel"/>
    <w:tmpl w:val="6E40EE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057B76"/>
    <w:multiLevelType w:val="hybridMultilevel"/>
    <w:tmpl w:val="3EB4F5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DF96ADF"/>
    <w:multiLevelType w:val="hybridMultilevel"/>
    <w:tmpl w:val="6AF83D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58C4122"/>
    <w:multiLevelType w:val="hybridMultilevel"/>
    <w:tmpl w:val="F4D29E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457E82"/>
    <w:multiLevelType w:val="hybridMultilevel"/>
    <w:tmpl w:val="89146A8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5915A97"/>
    <w:multiLevelType w:val="hybridMultilevel"/>
    <w:tmpl w:val="5E4848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8006C5"/>
    <w:multiLevelType w:val="hybridMultilevel"/>
    <w:tmpl w:val="ED789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8C2EF5"/>
    <w:multiLevelType w:val="multilevel"/>
    <w:tmpl w:val="5F7E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3879164">
    <w:abstractNumId w:val="0"/>
  </w:num>
  <w:num w:numId="2" w16cid:durableId="2131394104">
    <w:abstractNumId w:val="12"/>
  </w:num>
  <w:num w:numId="3" w16cid:durableId="987124177">
    <w:abstractNumId w:val="5"/>
  </w:num>
  <w:num w:numId="4" w16cid:durableId="41633277">
    <w:abstractNumId w:val="8"/>
  </w:num>
  <w:num w:numId="5" w16cid:durableId="573054534">
    <w:abstractNumId w:val="3"/>
  </w:num>
  <w:num w:numId="6" w16cid:durableId="1579557673">
    <w:abstractNumId w:val="1"/>
  </w:num>
  <w:num w:numId="7" w16cid:durableId="1260606379">
    <w:abstractNumId w:val="7"/>
  </w:num>
  <w:num w:numId="8" w16cid:durableId="2085493325">
    <w:abstractNumId w:val="6"/>
  </w:num>
  <w:num w:numId="9" w16cid:durableId="2130313227">
    <w:abstractNumId w:val="9"/>
  </w:num>
  <w:num w:numId="10" w16cid:durableId="292948610">
    <w:abstractNumId w:val="4"/>
  </w:num>
  <w:num w:numId="11" w16cid:durableId="2170053">
    <w:abstractNumId w:val="2"/>
  </w:num>
  <w:num w:numId="12" w16cid:durableId="728964529">
    <w:abstractNumId w:val="11"/>
  </w:num>
  <w:num w:numId="13" w16cid:durableId="642541434">
    <w:abstractNumId w:val="13"/>
  </w:num>
  <w:num w:numId="14" w16cid:durableId="63225500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oNotDisplayPageBoundaries/>
  <w:hideSpellingErrors/>
  <w:hideGrammaticalError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40"/>
    <w:rsid w:val="00001EF9"/>
    <w:rsid w:val="0000450E"/>
    <w:rsid w:val="00010F4D"/>
    <w:rsid w:val="00012686"/>
    <w:rsid w:val="000151B8"/>
    <w:rsid w:val="00016D28"/>
    <w:rsid w:val="00033706"/>
    <w:rsid w:val="00035D53"/>
    <w:rsid w:val="00036192"/>
    <w:rsid w:val="00040230"/>
    <w:rsid w:val="000417BB"/>
    <w:rsid w:val="000422C5"/>
    <w:rsid w:val="00042E74"/>
    <w:rsid w:val="00045DCE"/>
    <w:rsid w:val="000477D6"/>
    <w:rsid w:val="000505C5"/>
    <w:rsid w:val="0005060E"/>
    <w:rsid w:val="000540D6"/>
    <w:rsid w:val="00055ECB"/>
    <w:rsid w:val="00057E00"/>
    <w:rsid w:val="00070BB2"/>
    <w:rsid w:val="00072B27"/>
    <w:rsid w:val="00077186"/>
    <w:rsid w:val="00080A17"/>
    <w:rsid w:val="00083743"/>
    <w:rsid w:val="000847A9"/>
    <w:rsid w:val="00085082"/>
    <w:rsid w:val="00087DF8"/>
    <w:rsid w:val="000917BD"/>
    <w:rsid w:val="00095F2F"/>
    <w:rsid w:val="000A2A62"/>
    <w:rsid w:val="000A3FF1"/>
    <w:rsid w:val="000A6E73"/>
    <w:rsid w:val="000B2AB2"/>
    <w:rsid w:val="000B55AF"/>
    <w:rsid w:val="000D0405"/>
    <w:rsid w:val="000D5A4D"/>
    <w:rsid w:val="000D729D"/>
    <w:rsid w:val="000E4420"/>
    <w:rsid w:val="000E5192"/>
    <w:rsid w:val="000E5A18"/>
    <w:rsid w:val="000F37A5"/>
    <w:rsid w:val="00100682"/>
    <w:rsid w:val="001029C5"/>
    <w:rsid w:val="001033F5"/>
    <w:rsid w:val="0010777B"/>
    <w:rsid w:val="00114F1A"/>
    <w:rsid w:val="00115AA4"/>
    <w:rsid w:val="00126737"/>
    <w:rsid w:val="00127A40"/>
    <w:rsid w:val="00132468"/>
    <w:rsid w:val="00132733"/>
    <w:rsid w:val="001331CB"/>
    <w:rsid w:val="00135E14"/>
    <w:rsid w:val="00137F2B"/>
    <w:rsid w:val="00140BE1"/>
    <w:rsid w:val="00140E2D"/>
    <w:rsid w:val="001422EE"/>
    <w:rsid w:val="00142C88"/>
    <w:rsid w:val="0017088A"/>
    <w:rsid w:val="0017255B"/>
    <w:rsid w:val="00174CDD"/>
    <w:rsid w:val="00175987"/>
    <w:rsid w:val="00177F66"/>
    <w:rsid w:val="00191F0D"/>
    <w:rsid w:val="00192058"/>
    <w:rsid w:val="00195F13"/>
    <w:rsid w:val="00196199"/>
    <w:rsid w:val="001A05D7"/>
    <w:rsid w:val="001A114A"/>
    <w:rsid w:val="001A1D64"/>
    <w:rsid w:val="001A5F85"/>
    <w:rsid w:val="001A659A"/>
    <w:rsid w:val="001A65B6"/>
    <w:rsid w:val="001B0599"/>
    <w:rsid w:val="001B19F9"/>
    <w:rsid w:val="001B1E2D"/>
    <w:rsid w:val="001B7CB9"/>
    <w:rsid w:val="001C79E6"/>
    <w:rsid w:val="001D2014"/>
    <w:rsid w:val="001D2780"/>
    <w:rsid w:val="001D6AAC"/>
    <w:rsid w:val="001D6CAE"/>
    <w:rsid w:val="001E289B"/>
    <w:rsid w:val="001E4D8F"/>
    <w:rsid w:val="001E5DFB"/>
    <w:rsid w:val="001F12A5"/>
    <w:rsid w:val="001F3FA1"/>
    <w:rsid w:val="001F4E33"/>
    <w:rsid w:val="001F5A7E"/>
    <w:rsid w:val="001F6A1A"/>
    <w:rsid w:val="002013A9"/>
    <w:rsid w:val="00213CC8"/>
    <w:rsid w:val="002179EF"/>
    <w:rsid w:val="0022365C"/>
    <w:rsid w:val="0022457E"/>
    <w:rsid w:val="002253AF"/>
    <w:rsid w:val="002304FE"/>
    <w:rsid w:val="002305C3"/>
    <w:rsid w:val="00231080"/>
    <w:rsid w:val="00237D1D"/>
    <w:rsid w:val="00237F6F"/>
    <w:rsid w:val="00240C0A"/>
    <w:rsid w:val="00246814"/>
    <w:rsid w:val="00250D39"/>
    <w:rsid w:val="00257F5E"/>
    <w:rsid w:val="00260AC7"/>
    <w:rsid w:val="00260C39"/>
    <w:rsid w:val="002624D5"/>
    <w:rsid w:val="002631B1"/>
    <w:rsid w:val="0026343E"/>
    <w:rsid w:val="00272158"/>
    <w:rsid w:val="002747B5"/>
    <w:rsid w:val="00275B0A"/>
    <w:rsid w:val="00276CA7"/>
    <w:rsid w:val="002856D0"/>
    <w:rsid w:val="002867A7"/>
    <w:rsid w:val="00291C68"/>
    <w:rsid w:val="00296719"/>
    <w:rsid w:val="00297180"/>
    <w:rsid w:val="002A2635"/>
    <w:rsid w:val="002A558A"/>
    <w:rsid w:val="002B43BC"/>
    <w:rsid w:val="002B553C"/>
    <w:rsid w:val="002C0AEF"/>
    <w:rsid w:val="002C1E67"/>
    <w:rsid w:val="002C1FA2"/>
    <w:rsid w:val="002D03FF"/>
    <w:rsid w:val="002D13FF"/>
    <w:rsid w:val="002D260D"/>
    <w:rsid w:val="002D4019"/>
    <w:rsid w:val="002D62E0"/>
    <w:rsid w:val="002E5EFC"/>
    <w:rsid w:val="002F23C1"/>
    <w:rsid w:val="002F4F01"/>
    <w:rsid w:val="002F77DE"/>
    <w:rsid w:val="00307F08"/>
    <w:rsid w:val="003134BC"/>
    <w:rsid w:val="003145EA"/>
    <w:rsid w:val="00317153"/>
    <w:rsid w:val="00320B3A"/>
    <w:rsid w:val="0033227D"/>
    <w:rsid w:val="00333815"/>
    <w:rsid w:val="003461A0"/>
    <w:rsid w:val="003500CF"/>
    <w:rsid w:val="0035116A"/>
    <w:rsid w:val="0035281C"/>
    <w:rsid w:val="00362719"/>
    <w:rsid w:val="00362DB7"/>
    <w:rsid w:val="00363035"/>
    <w:rsid w:val="00367CB6"/>
    <w:rsid w:val="003731A9"/>
    <w:rsid w:val="00373F8C"/>
    <w:rsid w:val="00374888"/>
    <w:rsid w:val="0037660B"/>
    <w:rsid w:val="003833FA"/>
    <w:rsid w:val="00384096"/>
    <w:rsid w:val="003846F7"/>
    <w:rsid w:val="003A0277"/>
    <w:rsid w:val="003A0CA8"/>
    <w:rsid w:val="003A1D1B"/>
    <w:rsid w:val="003A4F19"/>
    <w:rsid w:val="003A5520"/>
    <w:rsid w:val="003A718B"/>
    <w:rsid w:val="003B1EFF"/>
    <w:rsid w:val="003B2D44"/>
    <w:rsid w:val="003B3651"/>
    <w:rsid w:val="003B3997"/>
    <w:rsid w:val="003C7EA6"/>
    <w:rsid w:val="003D246F"/>
    <w:rsid w:val="003D5062"/>
    <w:rsid w:val="003D572D"/>
    <w:rsid w:val="003E5449"/>
    <w:rsid w:val="003E62F1"/>
    <w:rsid w:val="003E74FF"/>
    <w:rsid w:val="003E7C14"/>
    <w:rsid w:val="0040330C"/>
    <w:rsid w:val="00411D37"/>
    <w:rsid w:val="00417684"/>
    <w:rsid w:val="00420D39"/>
    <w:rsid w:val="00421199"/>
    <w:rsid w:val="00425409"/>
    <w:rsid w:val="00425FAB"/>
    <w:rsid w:val="004302DC"/>
    <w:rsid w:val="00433522"/>
    <w:rsid w:val="0045495B"/>
    <w:rsid w:val="00460FBC"/>
    <w:rsid w:val="00463FA1"/>
    <w:rsid w:val="00472840"/>
    <w:rsid w:val="00473004"/>
    <w:rsid w:val="00474601"/>
    <w:rsid w:val="00480B4B"/>
    <w:rsid w:val="00482A6C"/>
    <w:rsid w:val="00487B83"/>
    <w:rsid w:val="004909CC"/>
    <w:rsid w:val="00491632"/>
    <w:rsid w:val="00492850"/>
    <w:rsid w:val="004938F2"/>
    <w:rsid w:val="00495561"/>
    <w:rsid w:val="004A1896"/>
    <w:rsid w:val="004A3852"/>
    <w:rsid w:val="004B0792"/>
    <w:rsid w:val="004B16F9"/>
    <w:rsid w:val="004B4906"/>
    <w:rsid w:val="004B5E0F"/>
    <w:rsid w:val="004B6E64"/>
    <w:rsid w:val="004C45A1"/>
    <w:rsid w:val="004C6B2C"/>
    <w:rsid w:val="004D0E53"/>
    <w:rsid w:val="004D12C8"/>
    <w:rsid w:val="004D2459"/>
    <w:rsid w:val="004D4619"/>
    <w:rsid w:val="004E40F6"/>
    <w:rsid w:val="004E5B7F"/>
    <w:rsid w:val="004E774F"/>
    <w:rsid w:val="005018F9"/>
    <w:rsid w:val="00503A2C"/>
    <w:rsid w:val="00520648"/>
    <w:rsid w:val="00521874"/>
    <w:rsid w:val="005218D4"/>
    <w:rsid w:val="00523F6B"/>
    <w:rsid w:val="00524F82"/>
    <w:rsid w:val="0052505A"/>
    <w:rsid w:val="00531269"/>
    <w:rsid w:val="00531322"/>
    <w:rsid w:val="00534851"/>
    <w:rsid w:val="0053665C"/>
    <w:rsid w:val="00543425"/>
    <w:rsid w:val="005522DC"/>
    <w:rsid w:val="005557E5"/>
    <w:rsid w:val="00555A69"/>
    <w:rsid w:val="00557ABC"/>
    <w:rsid w:val="00560EB4"/>
    <w:rsid w:val="00561BB7"/>
    <w:rsid w:val="00566555"/>
    <w:rsid w:val="005668CD"/>
    <w:rsid w:val="00567108"/>
    <w:rsid w:val="005711EB"/>
    <w:rsid w:val="005720EA"/>
    <w:rsid w:val="005738C4"/>
    <w:rsid w:val="00576A66"/>
    <w:rsid w:val="00582E35"/>
    <w:rsid w:val="00592584"/>
    <w:rsid w:val="00596ACD"/>
    <w:rsid w:val="00597485"/>
    <w:rsid w:val="005A25C5"/>
    <w:rsid w:val="005A51BE"/>
    <w:rsid w:val="005A7C3B"/>
    <w:rsid w:val="005B16E7"/>
    <w:rsid w:val="005B32C1"/>
    <w:rsid w:val="005B5D8F"/>
    <w:rsid w:val="005B75BF"/>
    <w:rsid w:val="005D2B75"/>
    <w:rsid w:val="005D3F13"/>
    <w:rsid w:val="005E013C"/>
    <w:rsid w:val="005E709D"/>
    <w:rsid w:val="005F5240"/>
    <w:rsid w:val="00603C68"/>
    <w:rsid w:val="006123AF"/>
    <w:rsid w:val="006202ED"/>
    <w:rsid w:val="006204D5"/>
    <w:rsid w:val="00623163"/>
    <w:rsid w:val="0062636A"/>
    <w:rsid w:val="00627711"/>
    <w:rsid w:val="00627919"/>
    <w:rsid w:val="006310AB"/>
    <w:rsid w:val="00634C93"/>
    <w:rsid w:val="00636A47"/>
    <w:rsid w:val="00636B18"/>
    <w:rsid w:val="0063737F"/>
    <w:rsid w:val="00640EBD"/>
    <w:rsid w:val="006412DA"/>
    <w:rsid w:val="00647058"/>
    <w:rsid w:val="00651E8A"/>
    <w:rsid w:val="0066556B"/>
    <w:rsid w:val="0066716C"/>
    <w:rsid w:val="006704D7"/>
    <w:rsid w:val="00672BA3"/>
    <w:rsid w:val="006731B9"/>
    <w:rsid w:val="00680340"/>
    <w:rsid w:val="00683BD1"/>
    <w:rsid w:val="00683E26"/>
    <w:rsid w:val="00684FC7"/>
    <w:rsid w:val="00687F8E"/>
    <w:rsid w:val="00690B09"/>
    <w:rsid w:val="006971D9"/>
    <w:rsid w:val="006A0FCD"/>
    <w:rsid w:val="006A1ACC"/>
    <w:rsid w:val="006A1C3B"/>
    <w:rsid w:val="006A2100"/>
    <w:rsid w:val="006A31F2"/>
    <w:rsid w:val="006A4F84"/>
    <w:rsid w:val="006A6B94"/>
    <w:rsid w:val="006B0074"/>
    <w:rsid w:val="006B0862"/>
    <w:rsid w:val="006B2845"/>
    <w:rsid w:val="006B2D76"/>
    <w:rsid w:val="006B57D9"/>
    <w:rsid w:val="006C1BBC"/>
    <w:rsid w:val="006D0DE1"/>
    <w:rsid w:val="006D67C0"/>
    <w:rsid w:val="006D6BDE"/>
    <w:rsid w:val="006E2F3C"/>
    <w:rsid w:val="006E42B8"/>
    <w:rsid w:val="006E7AF8"/>
    <w:rsid w:val="006F483A"/>
    <w:rsid w:val="006F5B0F"/>
    <w:rsid w:val="006F6B58"/>
    <w:rsid w:val="007005CE"/>
    <w:rsid w:val="0070754B"/>
    <w:rsid w:val="00715A18"/>
    <w:rsid w:val="00715B65"/>
    <w:rsid w:val="00715CF3"/>
    <w:rsid w:val="00720EE2"/>
    <w:rsid w:val="00727E70"/>
    <w:rsid w:val="00731EE2"/>
    <w:rsid w:val="00733E44"/>
    <w:rsid w:val="007353A9"/>
    <w:rsid w:val="00737C80"/>
    <w:rsid w:val="007413A7"/>
    <w:rsid w:val="00741C79"/>
    <w:rsid w:val="00763018"/>
    <w:rsid w:val="007649A6"/>
    <w:rsid w:val="007654D2"/>
    <w:rsid w:val="007775CC"/>
    <w:rsid w:val="00781424"/>
    <w:rsid w:val="00781620"/>
    <w:rsid w:val="00783175"/>
    <w:rsid w:val="0078413C"/>
    <w:rsid w:val="00786266"/>
    <w:rsid w:val="007878E9"/>
    <w:rsid w:val="007905E7"/>
    <w:rsid w:val="0079602E"/>
    <w:rsid w:val="007A03E5"/>
    <w:rsid w:val="007B070C"/>
    <w:rsid w:val="007B130A"/>
    <w:rsid w:val="007B1D49"/>
    <w:rsid w:val="007B453A"/>
    <w:rsid w:val="007B5CFF"/>
    <w:rsid w:val="007B6D16"/>
    <w:rsid w:val="007C04BB"/>
    <w:rsid w:val="007C0FEE"/>
    <w:rsid w:val="007D3BA7"/>
    <w:rsid w:val="007D4DB1"/>
    <w:rsid w:val="007D769C"/>
    <w:rsid w:val="007E28D5"/>
    <w:rsid w:val="007E50E1"/>
    <w:rsid w:val="007E65CC"/>
    <w:rsid w:val="007E680F"/>
    <w:rsid w:val="007E6F3E"/>
    <w:rsid w:val="007F2FA0"/>
    <w:rsid w:val="00800DB9"/>
    <w:rsid w:val="008011B7"/>
    <w:rsid w:val="00802148"/>
    <w:rsid w:val="00806E82"/>
    <w:rsid w:val="00825FCB"/>
    <w:rsid w:val="00826CB2"/>
    <w:rsid w:val="0083151C"/>
    <w:rsid w:val="008335FA"/>
    <w:rsid w:val="00834363"/>
    <w:rsid w:val="00834DF0"/>
    <w:rsid w:val="00840811"/>
    <w:rsid w:val="00840F10"/>
    <w:rsid w:val="008427A3"/>
    <w:rsid w:val="0084486F"/>
    <w:rsid w:val="008502A8"/>
    <w:rsid w:val="008516AC"/>
    <w:rsid w:val="00852B52"/>
    <w:rsid w:val="0086280D"/>
    <w:rsid w:val="0086282D"/>
    <w:rsid w:val="008655BD"/>
    <w:rsid w:val="00874F1E"/>
    <w:rsid w:val="0087522D"/>
    <w:rsid w:val="00883B4E"/>
    <w:rsid w:val="0089411C"/>
    <w:rsid w:val="00897499"/>
    <w:rsid w:val="00897CE8"/>
    <w:rsid w:val="008A7EAA"/>
    <w:rsid w:val="008B0581"/>
    <w:rsid w:val="008C0AD0"/>
    <w:rsid w:val="008C2FA8"/>
    <w:rsid w:val="008C37F5"/>
    <w:rsid w:val="008C5E53"/>
    <w:rsid w:val="008D17D4"/>
    <w:rsid w:val="008D1C29"/>
    <w:rsid w:val="008D5249"/>
    <w:rsid w:val="008D7566"/>
    <w:rsid w:val="008E1550"/>
    <w:rsid w:val="008E68C7"/>
    <w:rsid w:val="008F4EC2"/>
    <w:rsid w:val="008F5324"/>
    <w:rsid w:val="00900406"/>
    <w:rsid w:val="0090644F"/>
    <w:rsid w:val="009066E9"/>
    <w:rsid w:val="009069C1"/>
    <w:rsid w:val="00913AD8"/>
    <w:rsid w:val="00915FAD"/>
    <w:rsid w:val="00916309"/>
    <w:rsid w:val="009218EC"/>
    <w:rsid w:val="009252F2"/>
    <w:rsid w:val="00926012"/>
    <w:rsid w:val="00934452"/>
    <w:rsid w:val="009474AA"/>
    <w:rsid w:val="0095239F"/>
    <w:rsid w:val="0095778A"/>
    <w:rsid w:val="00963DC5"/>
    <w:rsid w:val="00967C7F"/>
    <w:rsid w:val="00971360"/>
    <w:rsid w:val="009723FC"/>
    <w:rsid w:val="00976B1A"/>
    <w:rsid w:val="00986228"/>
    <w:rsid w:val="0099208B"/>
    <w:rsid w:val="00994B39"/>
    <w:rsid w:val="00997DF0"/>
    <w:rsid w:val="00997FCA"/>
    <w:rsid w:val="009A315C"/>
    <w:rsid w:val="009A43BE"/>
    <w:rsid w:val="009B0CDB"/>
    <w:rsid w:val="009B1DE1"/>
    <w:rsid w:val="009C02F3"/>
    <w:rsid w:val="009C0EE4"/>
    <w:rsid w:val="009C3A64"/>
    <w:rsid w:val="009C4FB5"/>
    <w:rsid w:val="009D325F"/>
    <w:rsid w:val="009D7131"/>
    <w:rsid w:val="009E2D68"/>
    <w:rsid w:val="009E7C2E"/>
    <w:rsid w:val="009F58D6"/>
    <w:rsid w:val="009F7E1C"/>
    <w:rsid w:val="00A01D1D"/>
    <w:rsid w:val="00A121CC"/>
    <w:rsid w:val="00A23A3B"/>
    <w:rsid w:val="00A26495"/>
    <w:rsid w:val="00A30106"/>
    <w:rsid w:val="00A304B1"/>
    <w:rsid w:val="00A319FC"/>
    <w:rsid w:val="00A334A8"/>
    <w:rsid w:val="00A3560A"/>
    <w:rsid w:val="00A4101F"/>
    <w:rsid w:val="00A41B47"/>
    <w:rsid w:val="00A42943"/>
    <w:rsid w:val="00A42BC0"/>
    <w:rsid w:val="00A45202"/>
    <w:rsid w:val="00A54DE4"/>
    <w:rsid w:val="00A5655A"/>
    <w:rsid w:val="00A56889"/>
    <w:rsid w:val="00A614E7"/>
    <w:rsid w:val="00A73640"/>
    <w:rsid w:val="00A74FB9"/>
    <w:rsid w:val="00A7532E"/>
    <w:rsid w:val="00A77C33"/>
    <w:rsid w:val="00A816B7"/>
    <w:rsid w:val="00A904B2"/>
    <w:rsid w:val="00A90753"/>
    <w:rsid w:val="00A91159"/>
    <w:rsid w:val="00A91341"/>
    <w:rsid w:val="00A93AB3"/>
    <w:rsid w:val="00A946D6"/>
    <w:rsid w:val="00AA0330"/>
    <w:rsid w:val="00AA1467"/>
    <w:rsid w:val="00AB2010"/>
    <w:rsid w:val="00AB2C64"/>
    <w:rsid w:val="00AB53D2"/>
    <w:rsid w:val="00AB5B2F"/>
    <w:rsid w:val="00AB5DBE"/>
    <w:rsid w:val="00AC3D1A"/>
    <w:rsid w:val="00AC3E67"/>
    <w:rsid w:val="00AD32D7"/>
    <w:rsid w:val="00AD5D2D"/>
    <w:rsid w:val="00AE155E"/>
    <w:rsid w:val="00AE64F2"/>
    <w:rsid w:val="00AE6729"/>
    <w:rsid w:val="00AE73EB"/>
    <w:rsid w:val="00AF1C33"/>
    <w:rsid w:val="00B137E0"/>
    <w:rsid w:val="00B14E44"/>
    <w:rsid w:val="00B159BB"/>
    <w:rsid w:val="00B21FA9"/>
    <w:rsid w:val="00B22244"/>
    <w:rsid w:val="00B24AB3"/>
    <w:rsid w:val="00B25027"/>
    <w:rsid w:val="00B2594F"/>
    <w:rsid w:val="00B34D13"/>
    <w:rsid w:val="00B362E0"/>
    <w:rsid w:val="00B42732"/>
    <w:rsid w:val="00B46CF2"/>
    <w:rsid w:val="00B525D2"/>
    <w:rsid w:val="00B54A9D"/>
    <w:rsid w:val="00B579F4"/>
    <w:rsid w:val="00B618D4"/>
    <w:rsid w:val="00B652FA"/>
    <w:rsid w:val="00B70677"/>
    <w:rsid w:val="00B70F95"/>
    <w:rsid w:val="00B74A31"/>
    <w:rsid w:val="00B86FE9"/>
    <w:rsid w:val="00B9139B"/>
    <w:rsid w:val="00B9648B"/>
    <w:rsid w:val="00BA1653"/>
    <w:rsid w:val="00BA2F86"/>
    <w:rsid w:val="00BA315E"/>
    <w:rsid w:val="00BA531B"/>
    <w:rsid w:val="00BA57B0"/>
    <w:rsid w:val="00BA5E47"/>
    <w:rsid w:val="00BA779C"/>
    <w:rsid w:val="00BA7FDA"/>
    <w:rsid w:val="00BB2407"/>
    <w:rsid w:val="00BB2E8F"/>
    <w:rsid w:val="00BB72F3"/>
    <w:rsid w:val="00BC0B28"/>
    <w:rsid w:val="00BC28B4"/>
    <w:rsid w:val="00BC6534"/>
    <w:rsid w:val="00BC6D33"/>
    <w:rsid w:val="00BC6DF6"/>
    <w:rsid w:val="00BC7415"/>
    <w:rsid w:val="00BC74DA"/>
    <w:rsid w:val="00BD14EF"/>
    <w:rsid w:val="00BD427E"/>
    <w:rsid w:val="00BD67C5"/>
    <w:rsid w:val="00BD7815"/>
    <w:rsid w:val="00BE4073"/>
    <w:rsid w:val="00BF04E6"/>
    <w:rsid w:val="00BF20C3"/>
    <w:rsid w:val="00BF2844"/>
    <w:rsid w:val="00C04965"/>
    <w:rsid w:val="00C04C74"/>
    <w:rsid w:val="00C05C21"/>
    <w:rsid w:val="00C069AA"/>
    <w:rsid w:val="00C077B5"/>
    <w:rsid w:val="00C11600"/>
    <w:rsid w:val="00C13386"/>
    <w:rsid w:val="00C20FAC"/>
    <w:rsid w:val="00C24C3B"/>
    <w:rsid w:val="00C2649F"/>
    <w:rsid w:val="00C3144F"/>
    <w:rsid w:val="00C314F6"/>
    <w:rsid w:val="00C3325B"/>
    <w:rsid w:val="00C4141A"/>
    <w:rsid w:val="00C41AAD"/>
    <w:rsid w:val="00C44781"/>
    <w:rsid w:val="00C5000F"/>
    <w:rsid w:val="00C52D09"/>
    <w:rsid w:val="00C61F13"/>
    <w:rsid w:val="00C6548F"/>
    <w:rsid w:val="00C66137"/>
    <w:rsid w:val="00C6766B"/>
    <w:rsid w:val="00C679F4"/>
    <w:rsid w:val="00C7393C"/>
    <w:rsid w:val="00C834FC"/>
    <w:rsid w:val="00C86A8A"/>
    <w:rsid w:val="00C95B4E"/>
    <w:rsid w:val="00C95F84"/>
    <w:rsid w:val="00C971B8"/>
    <w:rsid w:val="00CA09A6"/>
    <w:rsid w:val="00CA0AA7"/>
    <w:rsid w:val="00CA7DAC"/>
    <w:rsid w:val="00CB1A20"/>
    <w:rsid w:val="00CB1E3A"/>
    <w:rsid w:val="00CB7430"/>
    <w:rsid w:val="00CC5731"/>
    <w:rsid w:val="00CC77E1"/>
    <w:rsid w:val="00CC7BBE"/>
    <w:rsid w:val="00CD03EE"/>
    <w:rsid w:val="00CD05F4"/>
    <w:rsid w:val="00CD3770"/>
    <w:rsid w:val="00CD3EF5"/>
    <w:rsid w:val="00CE2742"/>
    <w:rsid w:val="00CF43C7"/>
    <w:rsid w:val="00CF5B8B"/>
    <w:rsid w:val="00CF707D"/>
    <w:rsid w:val="00D00F33"/>
    <w:rsid w:val="00D0546A"/>
    <w:rsid w:val="00D07748"/>
    <w:rsid w:val="00D11936"/>
    <w:rsid w:val="00D11B2A"/>
    <w:rsid w:val="00D13195"/>
    <w:rsid w:val="00D1590A"/>
    <w:rsid w:val="00D164A5"/>
    <w:rsid w:val="00D2016E"/>
    <w:rsid w:val="00D21245"/>
    <w:rsid w:val="00D21583"/>
    <w:rsid w:val="00D256F9"/>
    <w:rsid w:val="00D3227B"/>
    <w:rsid w:val="00D33F7F"/>
    <w:rsid w:val="00D37A17"/>
    <w:rsid w:val="00D4675C"/>
    <w:rsid w:val="00D4682E"/>
    <w:rsid w:val="00D62F52"/>
    <w:rsid w:val="00D67E27"/>
    <w:rsid w:val="00D739F0"/>
    <w:rsid w:val="00D76476"/>
    <w:rsid w:val="00D805B9"/>
    <w:rsid w:val="00D82133"/>
    <w:rsid w:val="00D858D8"/>
    <w:rsid w:val="00D93406"/>
    <w:rsid w:val="00DA23F4"/>
    <w:rsid w:val="00DA4907"/>
    <w:rsid w:val="00DB0803"/>
    <w:rsid w:val="00DB42F8"/>
    <w:rsid w:val="00DB68FD"/>
    <w:rsid w:val="00DC041E"/>
    <w:rsid w:val="00DC5257"/>
    <w:rsid w:val="00DC6198"/>
    <w:rsid w:val="00DC73DA"/>
    <w:rsid w:val="00DD4FE3"/>
    <w:rsid w:val="00DE1B7B"/>
    <w:rsid w:val="00DE2638"/>
    <w:rsid w:val="00DE4C16"/>
    <w:rsid w:val="00DF0CE7"/>
    <w:rsid w:val="00DF2B8F"/>
    <w:rsid w:val="00DF4293"/>
    <w:rsid w:val="00E0110D"/>
    <w:rsid w:val="00E023B7"/>
    <w:rsid w:val="00E106CD"/>
    <w:rsid w:val="00E10AD6"/>
    <w:rsid w:val="00E11977"/>
    <w:rsid w:val="00E11D96"/>
    <w:rsid w:val="00E1237F"/>
    <w:rsid w:val="00E15301"/>
    <w:rsid w:val="00E21C50"/>
    <w:rsid w:val="00E24E17"/>
    <w:rsid w:val="00E27D07"/>
    <w:rsid w:val="00E355D2"/>
    <w:rsid w:val="00E40453"/>
    <w:rsid w:val="00E40D2B"/>
    <w:rsid w:val="00E41A38"/>
    <w:rsid w:val="00E42503"/>
    <w:rsid w:val="00E44184"/>
    <w:rsid w:val="00E44AC7"/>
    <w:rsid w:val="00E55B35"/>
    <w:rsid w:val="00E56180"/>
    <w:rsid w:val="00E56195"/>
    <w:rsid w:val="00E56534"/>
    <w:rsid w:val="00E63600"/>
    <w:rsid w:val="00E6655F"/>
    <w:rsid w:val="00E82C15"/>
    <w:rsid w:val="00E86936"/>
    <w:rsid w:val="00E96844"/>
    <w:rsid w:val="00E96F0B"/>
    <w:rsid w:val="00E972A0"/>
    <w:rsid w:val="00E97AF3"/>
    <w:rsid w:val="00E97E2F"/>
    <w:rsid w:val="00EA0317"/>
    <w:rsid w:val="00EA1517"/>
    <w:rsid w:val="00EA2AD0"/>
    <w:rsid w:val="00EA572F"/>
    <w:rsid w:val="00EB157F"/>
    <w:rsid w:val="00EB19F5"/>
    <w:rsid w:val="00EB49C4"/>
    <w:rsid w:val="00EB7896"/>
    <w:rsid w:val="00EC5045"/>
    <w:rsid w:val="00EC56F8"/>
    <w:rsid w:val="00ED098F"/>
    <w:rsid w:val="00ED10E8"/>
    <w:rsid w:val="00EF0B13"/>
    <w:rsid w:val="00EF7693"/>
    <w:rsid w:val="00EF7D60"/>
    <w:rsid w:val="00F02966"/>
    <w:rsid w:val="00F062E0"/>
    <w:rsid w:val="00F1148E"/>
    <w:rsid w:val="00F17F67"/>
    <w:rsid w:val="00F259FC"/>
    <w:rsid w:val="00F27716"/>
    <w:rsid w:val="00F30CA6"/>
    <w:rsid w:val="00F31A95"/>
    <w:rsid w:val="00F417B5"/>
    <w:rsid w:val="00F463C4"/>
    <w:rsid w:val="00F46E08"/>
    <w:rsid w:val="00F47F09"/>
    <w:rsid w:val="00F504DC"/>
    <w:rsid w:val="00F516D1"/>
    <w:rsid w:val="00F5184D"/>
    <w:rsid w:val="00F52192"/>
    <w:rsid w:val="00F60CDF"/>
    <w:rsid w:val="00F60FFF"/>
    <w:rsid w:val="00F61815"/>
    <w:rsid w:val="00F622C3"/>
    <w:rsid w:val="00F64209"/>
    <w:rsid w:val="00F65D47"/>
    <w:rsid w:val="00F66B68"/>
    <w:rsid w:val="00F70411"/>
    <w:rsid w:val="00F71384"/>
    <w:rsid w:val="00F77E76"/>
    <w:rsid w:val="00F82653"/>
    <w:rsid w:val="00F82F56"/>
    <w:rsid w:val="00F83885"/>
    <w:rsid w:val="00F95B69"/>
    <w:rsid w:val="00FA408D"/>
    <w:rsid w:val="00FA58CA"/>
    <w:rsid w:val="00FB00D5"/>
    <w:rsid w:val="00FB2B6C"/>
    <w:rsid w:val="00FB5AF3"/>
    <w:rsid w:val="00FB68FF"/>
    <w:rsid w:val="00FC2131"/>
    <w:rsid w:val="00FC2188"/>
    <w:rsid w:val="00FC49CC"/>
    <w:rsid w:val="00FD0AAE"/>
    <w:rsid w:val="00FD3A6D"/>
    <w:rsid w:val="00FD3DEB"/>
    <w:rsid w:val="00FD7D70"/>
    <w:rsid w:val="00FE0A45"/>
    <w:rsid w:val="00FE5261"/>
    <w:rsid w:val="00FE7C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830E29"/>
  <w15:docId w15:val="{62C7BEAF-BF70-4F41-986C-650D0F67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7B83"/>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491632"/>
    <w:pPr>
      <w:keepNext/>
      <w:keepLines/>
      <w:spacing w:before="240"/>
      <w:outlineLvl w:val="0"/>
    </w:pPr>
    <w:rPr>
      <w:rFonts w:asciiTheme="majorHAnsi" w:eastAsiaTheme="majorEastAsia" w:hAnsiTheme="majorHAnsi" w:cstheme="majorBidi"/>
      <w:color w:val="365F91" w:themeColor="accent1" w:themeShade="BF"/>
      <w:sz w:val="32"/>
      <w:szCs w:val="32"/>
      <w:lang w:val="es-ES_tradnl"/>
    </w:rPr>
  </w:style>
  <w:style w:type="paragraph" w:styleId="Ttulo2">
    <w:name w:val="heading 2"/>
    <w:basedOn w:val="Normal"/>
    <w:next w:val="Normal"/>
    <w:link w:val="Ttulo2Car"/>
    <w:uiPriority w:val="9"/>
    <w:unhideWhenUsed/>
    <w:qFormat/>
    <w:rsid w:val="00491632"/>
    <w:pPr>
      <w:keepNext/>
      <w:keepLines/>
      <w:spacing w:before="40"/>
      <w:outlineLvl w:val="1"/>
    </w:pPr>
    <w:rPr>
      <w:rFonts w:asciiTheme="majorHAnsi" w:eastAsiaTheme="majorEastAsia" w:hAnsiTheme="majorHAnsi" w:cstheme="majorBidi"/>
      <w:color w:val="365F91" w:themeColor="accent1" w:themeShade="BF"/>
      <w:sz w:val="26"/>
      <w:szCs w:val="26"/>
      <w:lang w:val="es-ES_tradnl"/>
    </w:rPr>
  </w:style>
  <w:style w:type="paragraph" w:styleId="Ttulo3">
    <w:name w:val="heading 3"/>
    <w:basedOn w:val="Normal"/>
    <w:link w:val="Ttulo3Car"/>
    <w:uiPriority w:val="9"/>
    <w:qFormat/>
    <w:rsid w:val="00561BB7"/>
    <w:pPr>
      <w:spacing w:before="100" w:beforeAutospacing="1" w:after="100" w:afterAutospacing="1"/>
      <w:outlineLvl w:val="2"/>
    </w:pPr>
    <w:rPr>
      <w:rFonts w:eastAsiaTheme="minorEastAsia"/>
      <w:b/>
      <w:bCs/>
      <w:sz w:val="27"/>
      <w:szCs w:val="27"/>
      <w:lang w:val="es-ES_tradnl"/>
    </w:rPr>
  </w:style>
  <w:style w:type="paragraph" w:styleId="Ttulo4">
    <w:name w:val="heading 4"/>
    <w:basedOn w:val="Normal"/>
    <w:next w:val="Normal"/>
    <w:link w:val="Ttulo4Car"/>
    <w:uiPriority w:val="9"/>
    <w:unhideWhenUsed/>
    <w:qFormat/>
    <w:rsid w:val="00491632"/>
    <w:pPr>
      <w:keepNext/>
      <w:keepLines/>
      <w:spacing w:before="40"/>
      <w:outlineLvl w:val="3"/>
    </w:pPr>
    <w:rPr>
      <w:rFonts w:asciiTheme="majorHAnsi" w:eastAsiaTheme="majorEastAsia" w:hAnsiTheme="majorHAnsi" w:cstheme="majorBidi"/>
      <w:i/>
      <w:iCs/>
      <w:color w:val="365F91" w:themeColor="accent1" w:themeShade="BF"/>
      <w:lang w:val="es-ES_tradnl"/>
    </w:rPr>
  </w:style>
  <w:style w:type="paragraph" w:styleId="Ttulo5">
    <w:name w:val="heading 5"/>
    <w:basedOn w:val="Normal"/>
    <w:next w:val="Normal"/>
    <w:link w:val="Ttulo5Car"/>
    <w:uiPriority w:val="9"/>
    <w:semiHidden/>
    <w:unhideWhenUsed/>
    <w:qFormat/>
    <w:rsid w:val="001F12A5"/>
    <w:pPr>
      <w:keepNext/>
      <w:keepLines/>
      <w:spacing w:before="40"/>
      <w:outlineLvl w:val="4"/>
    </w:pPr>
    <w:rPr>
      <w:rFonts w:asciiTheme="majorHAnsi" w:eastAsiaTheme="majorEastAsia" w:hAnsiTheme="majorHAnsi" w:cstheme="majorBidi"/>
      <w:color w:val="365F91" w:themeColor="accent1" w:themeShade="BF"/>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127A40"/>
    <w:pPr>
      <w:spacing w:before="100" w:beforeAutospacing="1" w:after="100" w:afterAutospacing="1"/>
    </w:pPr>
    <w:rPr>
      <w:rFonts w:ascii="Times" w:eastAsiaTheme="minorEastAsia" w:hAnsi="Times"/>
      <w:sz w:val="20"/>
      <w:szCs w:val="20"/>
      <w:lang w:val="es-ES_tradnl" w:eastAsia="es-ES"/>
    </w:rPr>
  </w:style>
  <w:style w:type="paragraph" w:styleId="Textodeglobo">
    <w:name w:val="Balloon Text"/>
    <w:basedOn w:val="Normal"/>
    <w:link w:val="TextodegloboCar"/>
    <w:uiPriority w:val="99"/>
    <w:semiHidden/>
    <w:unhideWhenUsed/>
    <w:rsid w:val="004302DC"/>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4302DC"/>
    <w:rPr>
      <w:rFonts w:ascii="Lucida Grande" w:hAnsi="Lucida Grande" w:cs="Lucida Grande"/>
      <w:sz w:val="18"/>
      <w:szCs w:val="18"/>
    </w:rPr>
  </w:style>
  <w:style w:type="paragraph" w:styleId="Prrafodelista">
    <w:name w:val="List Paragraph"/>
    <w:basedOn w:val="Normal"/>
    <w:uiPriority w:val="34"/>
    <w:qFormat/>
    <w:rsid w:val="009B0CDB"/>
    <w:pPr>
      <w:ind w:left="720"/>
      <w:contextualSpacing/>
    </w:pPr>
    <w:rPr>
      <w:rFonts w:asciiTheme="minorHAnsi" w:eastAsiaTheme="minorEastAsia" w:hAnsiTheme="minorHAnsi" w:cstheme="minorBidi"/>
      <w:lang w:val="es-ES_tradnl" w:eastAsia="es-ES"/>
    </w:rPr>
  </w:style>
  <w:style w:type="paragraph" w:customStyle="1" w:styleId="articulo">
    <w:name w:val="articulo"/>
    <w:basedOn w:val="Normal"/>
    <w:rsid w:val="009B0CDB"/>
    <w:pPr>
      <w:spacing w:before="100" w:beforeAutospacing="1" w:after="100" w:afterAutospacing="1"/>
    </w:pPr>
    <w:rPr>
      <w:rFonts w:ascii="Times" w:eastAsiaTheme="minorEastAsia" w:hAnsi="Times" w:cstheme="minorBidi"/>
      <w:sz w:val="20"/>
      <w:szCs w:val="20"/>
      <w:lang w:val="es-ES_tradnl" w:eastAsia="es-ES"/>
    </w:rPr>
  </w:style>
  <w:style w:type="paragraph" w:customStyle="1" w:styleId="parrafo">
    <w:name w:val="parrafo"/>
    <w:basedOn w:val="Normal"/>
    <w:rsid w:val="009B0CDB"/>
    <w:pPr>
      <w:spacing w:before="100" w:beforeAutospacing="1" w:after="100" w:afterAutospacing="1"/>
    </w:pPr>
    <w:rPr>
      <w:rFonts w:ascii="Times" w:eastAsiaTheme="minorEastAsia" w:hAnsi="Times" w:cstheme="minorBidi"/>
      <w:sz w:val="20"/>
      <w:szCs w:val="20"/>
      <w:lang w:val="es-ES_tradnl" w:eastAsia="es-ES"/>
    </w:rPr>
  </w:style>
  <w:style w:type="paragraph" w:customStyle="1" w:styleId="parrafo2">
    <w:name w:val="parrafo_2"/>
    <w:basedOn w:val="Normal"/>
    <w:rsid w:val="009B0CDB"/>
    <w:pPr>
      <w:spacing w:before="100" w:beforeAutospacing="1" w:after="100" w:afterAutospacing="1"/>
    </w:pPr>
    <w:rPr>
      <w:rFonts w:ascii="Times" w:eastAsiaTheme="minorEastAsia" w:hAnsi="Times" w:cstheme="minorBidi"/>
      <w:sz w:val="20"/>
      <w:szCs w:val="20"/>
      <w:lang w:val="es-ES_tradnl" w:eastAsia="es-ES"/>
    </w:rPr>
  </w:style>
  <w:style w:type="paragraph" w:styleId="Encabezado">
    <w:name w:val="header"/>
    <w:basedOn w:val="Normal"/>
    <w:link w:val="EncabezadoCar"/>
    <w:uiPriority w:val="99"/>
    <w:unhideWhenUsed/>
    <w:rsid w:val="00272158"/>
    <w:pPr>
      <w:tabs>
        <w:tab w:val="center" w:pos="4252"/>
        <w:tab w:val="right" w:pos="8504"/>
      </w:tabs>
    </w:pPr>
    <w:rPr>
      <w:rFonts w:asciiTheme="minorHAnsi" w:eastAsiaTheme="minorEastAsia" w:hAnsiTheme="minorHAnsi" w:cstheme="minorBidi"/>
      <w:lang w:val="es-ES_tradnl" w:eastAsia="es-ES"/>
    </w:rPr>
  </w:style>
  <w:style w:type="character" w:customStyle="1" w:styleId="EncabezadoCar">
    <w:name w:val="Encabezado Car"/>
    <w:basedOn w:val="Fuentedeprrafopredeter"/>
    <w:link w:val="Encabezado"/>
    <w:uiPriority w:val="99"/>
    <w:rsid w:val="00272158"/>
  </w:style>
  <w:style w:type="paragraph" w:styleId="Piedepgina">
    <w:name w:val="footer"/>
    <w:basedOn w:val="Normal"/>
    <w:link w:val="PiedepginaCar"/>
    <w:uiPriority w:val="99"/>
    <w:unhideWhenUsed/>
    <w:rsid w:val="00272158"/>
    <w:pPr>
      <w:tabs>
        <w:tab w:val="center" w:pos="4252"/>
        <w:tab w:val="right" w:pos="8504"/>
      </w:tabs>
    </w:pPr>
    <w:rPr>
      <w:rFonts w:asciiTheme="minorHAnsi" w:eastAsiaTheme="minorEastAsia" w:hAnsiTheme="minorHAnsi" w:cstheme="minorBidi"/>
      <w:lang w:val="es-ES_tradnl" w:eastAsia="es-ES"/>
    </w:rPr>
  </w:style>
  <w:style w:type="character" w:customStyle="1" w:styleId="PiedepginaCar">
    <w:name w:val="Pie de página Car"/>
    <w:basedOn w:val="Fuentedeprrafopredeter"/>
    <w:link w:val="Piedepgina"/>
    <w:uiPriority w:val="99"/>
    <w:rsid w:val="00272158"/>
  </w:style>
  <w:style w:type="character" w:customStyle="1" w:styleId="apple-converted-space">
    <w:name w:val="apple-converted-space"/>
    <w:basedOn w:val="Fuentedeprrafopredeter"/>
    <w:rsid w:val="00543425"/>
  </w:style>
  <w:style w:type="character" w:styleId="Hipervnculo">
    <w:name w:val="Hyperlink"/>
    <w:basedOn w:val="Fuentedeprrafopredeter"/>
    <w:uiPriority w:val="99"/>
    <w:unhideWhenUsed/>
    <w:rsid w:val="00543425"/>
    <w:rPr>
      <w:color w:val="0000FF"/>
      <w:u w:val="single"/>
    </w:rPr>
  </w:style>
  <w:style w:type="character" w:styleId="nfasis">
    <w:name w:val="Emphasis"/>
    <w:basedOn w:val="Fuentedeprrafopredeter"/>
    <w:uiPriority w:val="20"/>
    <w:qFormat/>
    <w:rsid w:val="00543425"/>
    <w:rPr>
      <w:i/>
      <w:iCs/>
    </w:rPr>
  </w:style>
  <w:style w:type="character" w:styleId="Textoennegrita">
    <w:name w:val="Strong"/>
    <w:basedOn w:val="Fuentedeprrafopredeter"/>
    <w:uiPriority w:val="22"/>
    <w:qFormat/>
    <w:rsid w:val="00543425"/>
    <w:rPr>
      <w:b/>
      <w:bCs/>
    </w:rPr>
  </w:style>
  <w:style w:type="numbering" w:customStyle="1" w:styleId="Estilo1">
    <w:name w:val="Estilo1"/>
    <w:uiPriority w:val="99"/>
    <w:rsid w:val="00F70411"/>
    <w:pPr>
      <w:numPr>
        <w:numId w:val="1"/>
      </w:numPr>
    </w:pPr>
  </w:style>
  <w:style w:type="paragraph" w:customStyle="1" w:styleId="a">
    <w:name w:val="a"/>
    <w:basedOn w:val="Normal"/>
    <w:rsid w:val="007654D2"/>
    <w:pPr>
      <w:spacing w:before="100" w:beforeAutospacing="1" w:after="100" w:afterAutospacing="1"/>
    </w:pPr>
    <w:rPr>
      <w:rFonts w:ascii="Times" w:eastAsiaTheme="minorEastAsia" w:hAnsi="Times" w:cstheme="minorBidi"/>
      <w:sz w:val="20"/>
      <w:szCs w:val="20"/>
      <w:lang w:val="es-ES_tradnl" w:eastAsia="es-ES"/>
    </w:rPr>
  </w:style>
  <w:style w:type="paragraph" w:customStyle="1" w:styleId="m3729107768890566345gmail-msobodytext">
    <w:name w:val="m_3729107768890566345gmail-msobodytext"/>
    <w:basedOn w:val="Normal"/>
    <w:rsid w:val="007654D2"/>
    <w:pPr>
      <w:spacing w:before="100" w:beforeAutospacing="1" w:after="100" w:afterAutospacing="1"/>
    </w:pPr>
    <w:rPr>
      <w:rFonts w:ascii="Times" w:eastAsiaTheme="minorEastAsia" w:hAnsi="Times" w:cstheme="minorBidi"/>
      <w:sz w:val="20"/>
      <w:szCs w:val="20"/>
      <w:lang w:val="es-ES_tradnl" w:eastAsia="es-ES"/>
    </w:rPr>
  </w:style>
  <w:style w:type="paragraph" w:customStyle="1" w:styleId="justificado">
    <w:name w:val="justificado"/>
    <w:basedOn w:val="Normal"/>
    <w:rsid w:val="004A1896"/>
    <w:pPr>
      <w:spacing w:before="100" w:beforeAutospacing="1" w:after="100" w:afterAutospacing="1"/>
    </w:pPr>
    <w:rPr>
      <w:lang w:eastAsia="es-ES"/>
    </w:rPr>
  </w:style>
  <w:style w:type="table" w:styleId="Tablaconcuadrcula">
    <w:name w:val="Table Grid"/>
    <w:basedOn w:val="Tablanormal"/>
    <w:uiPriority w:val="59"/>
    <w:rsid w:val="00196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doarticulo">
    <w:name w:val="sangrado_articulo"/>
    <w:basedOn w:val="Normal"/>
    <w:rsid w:val="00A93AB3"/>
    <w:pPr>
      <w:spacing w:before="100" w:beforeAutospacing="1" w:after="100" w:afterAutospacing="1"/>
    </w:pPr>
    <w:rPr>
      <w:rFonts w:eastAsiaTheme="minorEastAsia"/>
      <w:lang w:val="es-ES_tradnl"/>
    </w:rPr>
  </w:style>
  <w:style w:type="paragraph" w:customStyle="1" w:styleId="sangrado">
    <w:name w:val="sangrado"/>
    <w:basedOn w:val="Normal"/>
    <w:rsid w:val="00A93AB3"/>
    <w:pPr>
      <w:spacing w:before="100" w:beforeAutospacing="1" w:after="100" w:afterAutospacing="1"/>
    </w:pPr>
    <w:rPr>
      <w:rFonts w:eastAsiaTheme="minorEastAsia"/>
      <w:lang w:val="es-ES_tradnl"/>
    </w:rPr>
  </w:style>
  <w:style w:type="character" w:customStyle="1" w:styleId="Ttulo3Car">
    <w:name w:val="Título 3 Car"/>
    <w:basedOn w:val="Fuentedeprrafopredeter"/>
    <w:link w:val="Ttulo3"/>
    <w:uiPriority w:val="9"/>
    <w:rsid w:val="00561BB7"/>
    <w:rPr>
      <w:rFonts w:ascii="Times New Roman" w:hAnsi="Times New Roman" w:cs="Times New Roman"/>
      <w:b/>
      <w:bCs/>
      <w:sz w:val="27"/>
      <w:szCs w:val="27"/>
      <w:lang w:eastAsia="es-ES_tradnl"/>
    </w:rPr>
  </w:style>
  <w:style w:type="character" w:customStyle="1" w:styleId="Mencinsinresolver1">
    <w:name w:val="Mención sin resolver1"/>
    <w:basedOn w:val="Fuentedeprrafopredeter"/>
    <w:uiPriority w:val="99"/>
    <w:semiHidden/>
    <w:unhideWhenUsed/>
    <w:rsid w:val="007E65CC"/>
    <w:rPr>
      <w:color w:val="605E5C"/>
      <w:shd w:val="clear" w:color="auto" w:fill="E1DFDD"/>
    </w:rPr>
  </w:style>
  <w:style w:type="character" w:customStyle="1" w:styleId="Ttulo5Car">
    <w:name w:val="Título 5 Car"/>
    <w:basedOn w:val="Fuentedeprrafopredeter"/>
    <w:link w:val="Ttulo5"/>
    <w:uiPriority w:val="9"/>
    <w:semiHidden/>
    <w:rsid w:val="001F12A5"/>
    <w:rPr>
      <w:rFonts w:asciiTheme="majorHAnsi" w:eastAsiaTheme="majorEastAsia" w:hAnsiTheme="majorHAnsi" w:cstheme="majorBidi"/>
      <w:color w:val="365F91" w:themeColor="accent1" w:themeShade="BF"/>
      <w:lang w:eastAsia="es-ES_tradnl"/>
    </w:rPr>
  </w:style>
  <w:style w:type="paragraph" w:styleId="Textonotapie">
    <w:name w:val="footnote text"/>
    <w:basedOn w:val="Normal"/>
    <w:link w:val="TextonotapieCar"/>
    <w:uiPriority w:val="99"/>
    <w:semiHidden/>
    <w:unhideWhenUsed/>
    <w:rsid w:val="001331CB"/>
    <w:rPr>
      <w:rFonts w:eastAsiaTheme="minorEastAsia"/>
      <w:sz w:val="20"/>
      <w:szCs w:val="20"/>
      <w:lang w:val="es-ES_tradnl"/>
    </w:rPr>
  </w:style>
  <w:style w:type="character" w:customStyle="1" w:styleId="TextonotapieCar">
    <w:name w:val="Texto nota pie Car"/>
    <w:basedOn w:val="Fuentedeprrafopredeter"/>
    <w:link w:val="Textonotapie"/>
    <w:uiPriority w:val="99"/>
    <w:semiHidden/>
    <w:rsid w:val="001331CB"/>
    <w:rPr>
      <w:rFonts w:ascii="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1331CB"/>
    <w:rPr>
      <w:vertAlign w:val="superscript"/>
    </w:rPr>
  </w:style>
  <w:style w:type="paragraph" w:customStyle="1" w:styleId="Pa8">
    <w:name w:val="Pa8"/>
    <w:basedOn w:val="Normal"/>
    <w:next w:val="Normal"/>
    <w:uiPriority w:val="99"/>
    <w:rsid w:val="00825FCB"/>
    <w:pPr>
      <w:autoSpaceDE w:val="0"/>
      <w:autoSpaceDN w:val="0"/>
      <w:adjustRightInd w:val="0"/>
      <w:spacing w:line="201" w:lineRule="atLeast"/>
    </w:pPr>
    <w:rPr>
      <w:rFonts w:ascii="Arial" w:eastAsiaTheme="minorEastAsia" w:hAnsi="Arial" w:cs="Arial"/>
      <w:lang w:eastAsia="es-ES"/>
    </w:rPr>
  </w:style>
  <w:style w:type="paragraph" w:customStyle="1" w:styleId="Pa11">
    <w:name w:val="Pa11"/>
    <w:basedOn w:val="Normal"/>
    <w:next w:val="Normal"/>
    <w:uiPriority w:val="99"/>
    <w:rsid w:val="00634C93"/>
    <w:pPr>
      <w:autoSpaceDE w:val="0"/>
      <w:autoSpaceDN w:val="0"/>
      <w:adjustRightInd w:val="0"/>
      <w:spacing w:line="201" w:lineRule="atLeast"/>
    </w:pPr>
    <w:rPr>
      <w:rFonts w:ascii="Arial" w:eastAsiaTheme="minorEastAsia" w:hAnsi="Arial" w:cs="Arial"/>
      <w:lang w:eastAsia="es-ES"/>
    </w:rPr>
  </w:style>
  <w:style w:type="paragraph" w:customStyle="1" w:styleId="Pa7">
    <w:name w:val="Pa7"/>
    <w:basedOn w:val="Normal"/>
    <w:next w:val="Normal"/>
    <w:uiPriority w:val="99"/>
    <w:rsid w:val="00634C93"/>
    <w:pPr>
      <w:autoSpaceDE w:val="0"/>
      <w:autoSpaceDN w:val="0"/>
      <w:adjustRightInd w:val="0"/>
      <w:spacing w:line="201" w:lineRule="atLeast"/>
    </w:pPr>
    <w:rPr>
      <w:rFonts w:ascii="Arial" w:eastAsiaTheme="minorEastAsia" w:hAnsi="Arial" w:cs="Arial"/>
      <w:lang w:eastAsia="es-ES"/>
    </w:rPr>
  </w:style>
  <w:style w:type="table" w:customStyle="1" w:styleId="Tablaconcuadrcula1">
    <w:name w:val="Tabla con cuadrícula1"/>
    <w:basedOn w:val="Tablanormal"/>
    <w:next w:val="Tablaconcuadrcula"/>
    <w:uiPriority w:val="39"/>
    <w:rsid w:val="0095239F"/>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307F08"/>
    <w:rPr>
      <w:color w:val="605E5C"/>
      <w:shd w:val="clear" w:color="auto" w:fill="E1DFDD"/>
    </w:rPr>
  </w:style>
  <w:style w:type="character" w:customStyle="1" w:styleId="Ttulo4Car">
    <w:name w:val="Título 4 Car"/>
    <w:basedOn w:val="Fuentedeprrafopredeter"/>
    <w:link w:val="Ttulo4"/>
    <w:uiPriority w:val="9"/>
    <w:rsid w:val="00491632"/>
    <w:rPr>
      <w:rFonts w:asciiTheme="majorHAnsi" w:eastAsiaTheme="majorEastAsia" w:hAnsiTheme="majorHAnsi" w:cstheme="majorBidi"/>
      <w:i/>
      <w:iCs/>
      <w:color w:val="365F91" w:themeColor="accent1" w:themeShade="BF"/>
      <w:lang w:eastAsia="es-ES_tradnl"/>
    </w:rPr>
  </w:style>
  <w:style w:type="character" w:customStyle="1" w:styleId="Ttulo2Car">
    <w:name w:val="Título 2 Car"/>
    <w:basedOn w:val="Fuentedeprrafopredeter"/>
    <w:link w:val="Ttulo2"/>
    <w:uiPriority w:val="9"/>
    <w:rsid w:val="00491632"/>
    <w:rPr>
      <w:rFonts w:asciiTheme="majorHAnsi" w:eastAsiaTheme="majorEastAsia" w:hAnsiTheme="majorHAnsi" w:cstheme="majorBidi"/>
      <w:color w:val="365F91" w:themeColor="accent1" w:themeShade="BF"/>
      <w:sz w:val="26"/>
      <w:szCs w:val="26"/>
      <w:lang w:eastAsia="es-ES_tradnl"/>
    </w:rPr>
  </w:style>
  <w:style w:type="character" w:customStyle="1" w:styleId="Ttulo1Car">
    <w:name w:val="Título 1 Car"/>
    <w:basedOn w:val="Fuentedeprrafopredeter"/>
    <w:link w:val="Ttulo1"/>
    <w:uiPriority w:val="9"/>
    <w:rsid w:val="00491632"/>
    <w:rPr>
      <w:rFonts w:asciiTheme="majorHAnsi" w:eastAsiaTheme="majorEastAsia" w:hAnsiTheme="majorHAnsi" w:cstheme="majorBidi"/>
      <w:color w:val="365F91" w:themeColor="accent1" w:themeShade="BF"/>
      <w:sz w:val="32"/>
      <w:szCs w:val="32"/>
      <w:lang w:eastAsia="es-ES_tradnl"/>
    </w:rPr>
  </w:style>
  <w:style w:type="paragraph" w:styleId="Sinespaciado">
    <w:name w:val="No Spacing"/>
    <w:uiPriority w:val="1"/>
    <w:qFormat/>
    <w:rsid w:val="00491632"/>
    <w:rPr>
      <w:rFonts w:ascii="Times New Roman" w:hAnsi="Times New Roman" w:cs="Times New Roman"/>
      <w:lang w:eastAsia="es-ES_tradnl"/>
    </w:rPr>
  </w:style>
  <w:style w:type="paragraph" w:styleId="Citadestacada">
    <w:name w:val="Intense Quote"/>
    <w:basedOn w:val="Normal"/>
    <w:next w:val="Normal"/>
    <w:link w:val="CitadestacadaCar"/>
    <w:uiPriority w:val="30"/>
    <w:qFormat/>
    <w:rsid w:val="00491632"/>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lang w:val="es-ES_tradnl"/>
    </w:rPr>
  </w:style>
  <w:style w:type="character" w:customStyle="1" w:styleId="CitadestacadaCar">
    <w:name w:val="Cita destacada Car"/>
    <w:basedOn w:val="Fuentedeprrafopredeter"/>
    <w:link w:val="Citadestacada"/>
    <w:uiPriority w:val="30"/>
    <w:rsid w:val="00491632"/>
    <w:rPr>
      <w:rFonts w:ascii="Times New Roman" w:hAnsi="Times New Roman" w:cs="Times New Roman"/>
      <w:i/>
      <w:iCs/>
      <w:color w:val="4F81BD" w:themeColor="accent1"/>
      <w:lang w:eastAsia="es-ES_tradnl"/>
    </w:rPr>
  </w:style>
  <w:style w:type="character" w:styleId="Hipervnculovisitado">
    <w:name w:val="FollowedHyperlink"/>
    <w:basedOn w:val="Fuentedeprrafopredeter"/>
    <w:uiPriority w:val="99"/>
    <w:semiHidden/>
    <w:unhideWhenUsed/>
    <w:rsid w:val="0022457E"/>
    <w:rPr>
      <w:color w:val="800080" w:themeColor="followedHyperlink"/>
      <w:u w:val="single"/>
    </w:rPr>
  </w:style>
  <w:style w:type="paragraph" w:customStyle="1" w:styleId="nr">
    <w:name w:val="nr"/>
    <w:basedOn w:val="Normal"/>
    <w:rsid w:val="00231080"/>
    <w:pPr>
      <w:spacing w:before="100" w:beforeAutospacing="1" w:after="100" w:afterAutospacing="1"/>
    </w:pPr>
  </w:style>
  <w:style w:type="paragraph" w:customStyle="1" w:styleId="Default">
    <w:name w:val="Default"/>
    <w:rsid w:val="00237F6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2157">
      <w:bodyDiv w:val="1"/>
      <w:marLeft w:val="0"/>
      <w:marRight w:val="0"/>
      <w:marTop w:val="0"/>
      <w:marBottom w:val="0"/>
      <w:divBdr>
        <w:top w:val="none" w:sz="0" w:space="0" w:color="auto"/>
        <w:left w:val="none" w:sz="0" w:space="0" w:color="auto"/>
        <w:bottom w:val="none" w:sz="0" w:space="0" w:color="auto"/>
        <w:right w:val="none" w:sz="0" w:space="0" w:color="auto"/>
      </w:divBdr>
    </w:div>
    <w:div w:id="112402535">
      <w:bodyDiv w:val="1"/>
      <w:marLeft w:val="0"/>
      <w:marRight w:val="0"/>
      <w:marTop w:val="0"/>
      <w:marBottom w:val="0"/>
      <w:divBdr>
        <w:top w:val="none" w:sz="0" w:space="0" w:color="auto"/>
        <w:left w:val="none" w:sz="0" w:space="0" w:color="auto"/>
        <w:bottom w:val="none" w:sz="0" w:space="0" w:color="auto"/>
        <w:right w:val="none" w:sz="0" w:space="0" w:color="auto"/>
      </w:divBdr>
    </w:div>
    <w:div w:id="152137868">
      <w:bodyDiv w:val="1"/>
      <w:marLeft w:val="0"/>
      <w:marRight w:val="0"/>
      <w:marTop w:val="0"/>
      <w:marBottom w:val="0"/>
      <w:divBdr>
        <w:top w:val="none" w:sz="0" w:space="0" w:color="auto"/>
        <w:left w:val="none" w:sz="0" w:space="0" w:color="auto"/>
        <w:bottom w:val="none" w:sz="0" w:space="0" w:color="auto"/>
        <w:right w:val="none" w:sz="0" w:space="0" w:color="auto"/>
      </w:divBdr>
    </w:div>
    <w:div w:id="159739405">
      <w:bodyDiv w:val="1"/>
      <w:marLeft w:val="0"/>
      <w:marRight w:val="0"/>
      <w:marTop w:val="0"/>
      <w:marBottom w:val="0"/>
      <w:divBdr>
        <w:top w:val="none" w:sz="0" w:space="0" w:color="auto"/>
        <w:left w:val="none" w:sz="0" w:space="0" w:color="auto"/>
        <w:bottom w:val="none" w:sz="0" w:space="0" w:color="auto"/>
        <w:right w:val="none" w:sz="0" w:space="0" w:color="auto"/>
      </w:divBdr>
    </w:div>
    <w:div w:id="175659535">
      <w:bodyDiv w:val="1"/>
      <w:marLeft w:val="0"/>
      <w:marRight w:val="0"/>
      <w:marTop w:val="0"/>
      <w:marBottom w:val="0"/>
      <w:divBdr>
        <w:top w:val="none" w:sz="0" w:space="0" w:color="auto"/>
        <w:left w:val="none" w:sz="0" w:space="0" w:color="auto"/>
        <w:bottom w:val="none" w:sz="0" w:space="0" w:color="auto"/>
        <w:right w:val="none" w:sz="0" w:space="0" w:color="auto"/>
      </w:divBdr>
      <w:divsChild>
        <w:div w:id="1411389607">
          <w:marLeft w:val="0"/>
          <w:marRight w:val="0"/>
          <w:marTop w:val="120"/>
          <w:marBottom w:val="120"/>
          <w:divBdr>
            <w:top w:val="none" w:sz="0" w:space="0" w:color="auto"/>
            <w:left w:val="none" w:sz="0" w:space="0" w:color="auto"/>
            <w:bottom w:val="none" w:sz="0" w:space="0" w:color="auto"/>
            <w:right w:val="none" w:sz="0" w:space="0" w:color="auto"/>
          </w:divBdr>
        </w:div>
      </w:divsChild>
    </w:div>
    <w:div w:id="181363224">
      <w:bodyDiv w:val="1"/>
      <w:marLeft w:val="0"/>
      <w:marRight w:val="0"/>
      <w:marTop w:val="0"/>
      <w:marBottom w:val="0"/>
      <w:divBdr>
        <w:top w:val="none" w:sz="0" w:space="0" w:color="auto"/>
        <w:left w:val="none" w:sz="0" w:space="0" w:color="auto"/>
        <w:bottom w:val="none" w:sz="0" w:space="0" w:color="auto"/>
        <w:right w:val="none" w:sz="0" w:space="0" w:color="auto"/>
      </w:divBdr>
    </w:div>
    <w:div w:id="181745511">
      <w:bodyDiv w:val="1"/>
      <w:marLeft w:val="0"/>
      <w:marRight w:val="0"/>
      <w:marTop w:val="0"/>
      <w:marBottom w:val="0"/>
      <w:divBdr>
        <w:top w:val="none" w:sz="0" w:space="0" w:color="auto"/>
        <w:left w:val="none" w:sz="0" w:space="0" w:color="auto"/>
        <w:bottom w:val="none" w:sz="0" w:space="0" w:color="auto"/>
        <w:right w:val="none" w:sz="0" w:space="0" w:color="auto"/>
      </w:divBdr>
    </w:div>
    <w:div w:id="199175520">
      <w:bodyDiv w:val="1"/>
      <w:marLeft w:val="0"/>
      <w:marRight w:val="0"/>
      <w:marTop w:val="0"/>
      <w:marBottom w:val="0"/>
      <w:divBdr>
        <w:top w:val="none" w:sz="0" w:space="0" w:color="auto"/>
        <w:left w:val="none" w:sz="0" w:space="0" w:color="auto"/>
        <w:bottom w:val="none" w:sz="0" w:space="0" w:color="auto"/>
        <w:right w:val="none" w:sz="0" w:space="0" w:color="auto"/>
      </w:divBdr>
    </w:div>
    <w:div w:id="252708017">
      <w:bodyDiv w:val="1"/>
      <w:marLeft w:val="0"/>
      <w:marRight w:val="0"/>
      <w:marTop w:val="0"/>
      <w:marBottom w:val="0"/>
      <w:divBdr>
        <w:top w:val="none" w:sz="0" w:space="0" w:color="auto"/>
        <w:left w:val="none" w:sz="0" w:space="0" w:color="auto"/>
        <w:bottom w:val="none" w:sz="0" w:space="0" w:color="auto"/>
        <w:right w:val="none" w:sz="0" w:space="0" w:color="auto"/>
      </w:divBdr>
    </w:div>
    <w:div w:id="254439122">
      <w:bodyDiv w:val="1"/>
      <w:marLeft w:val="0"/>
      <w:marRight w:val="0"/>
      <w:marTop w:val="0"/>
      <w:marBottom w:val="0"/>
      <w:divBdr>
        <w:top w:val="none" w:sz="0" w:space="0" w:color="auto"/>
        <w:left w:val="none" w:sz="0" w:space="0" w:color="auto"/>
        <w:bottom w:val="none" w:sz="0" w:space="0" w:color="auto"/>
        <w:right w:val="none" w:sz="0" w:space="0" w:color="auto"/>
      </w:divBdr>
    </w:div>
    <w:div w:id="258948986">
      <w:bodyDiv w:val="1"/>
      <w:marLeft w:val="0"/>
      <w:marRight w:val="0"/>
      <w:marTop w:val="0"/>
      <w:marBottom w:val="0"/>
      <w:divBdr>
        <w:top w:val="none" w:sz="0" w:space="0" w:color="auto"/>
        <w:left w:val="none" w:sz="0" w:space="0" w:color="auto"/>
        <w:bottom w:val="none" w:sz="0" w:space="0" w:color="auto"/>
        <w:right w:val="none" w:sz="0" w:space="0" w:color="auto"/>
      </w:divBdr>
      <w:divsChild>
        <w:div w:id="125052340">
          <w:marLeft w:val="0"/>
          <w:marRight w:val="0"/>
          <w:marTop w:val="0"/>
          <w:marBottom w:val="0"/>
          <w:divBdr>
            <w:top w:val="none" w:sz="0" w:space="0" w:color="auto"/>
            <w:left w:val="none" w:sz="0" w:space="0" w:color="auto"/>
            <w:bottom w:val="none" w:sz="0" w:space="0" w:color="auto"/>
            <w:right w:val="none" w:sz="0" w:space="0" w:color="auto"/>
          </w:divBdr>
          <w:divsChild>
            <w:div w:id="1985623571">
              <w:marLeft w:val="0"/>
              <w:marRight w:val="0"/>
              <w:marTop w:val="0"/>
              <w:marBottom w:val="0"/>
              <w:divBdr>
                <w:top w:val="none" w:sz="0" w:space="0" w:color="auto"/>
                <w:left w:val="none" w:sz="0" w:space="0" w:color="auto"/>
                <w:bottom w:val="none" w:sz="0" w:space="0" w:color="auto"/>
                <w:right w:val="none" w:sz="0" w:space="0" w:color="auto"/>
              </w:divBdr>
              <w:divsChild>
                <w:div w:id="1549030833">
                  <w:marLeft w:val="0"/>
                  <w:marRight w:val="0"/>
                  <w:marTop w:val="0"/>
                  <w:marBottom w:val="0"/>
                  <w:divBdr>
                    <w:top w:val="none" w:sz="0" w:space="0" w:color="auto"/>
                    <w:left w:val="none" w:sz="0" w:space="0" w:color="auto"/>
                    <w:bottom w:val="none" w:sz="0" w:space="0" w:color="auto"/>
                    <w:right w:val="none" w:sz="0" w:space="0" w:color="auto"/>
                  </w:divBdr>
                  <w:divsChild>
                    <w:div w:id="6593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05051">
      <w:bodyDiv w:val="1"/>
      <w:marLeft w:val="0"/>
      <w:marRight w:val="0"/>
      <w:marTop w:val="0"/>
      <w:marBottom w:val="0"/>
      <w:divBdr>
        <w:top w:val="none" w:sz="0" w:space="0" w:color="auto"/>
        <w:left w:val="none" w:sz="0" w:space="0" w:color="auto"/>
        <w:bottom w:val="none" w:sz="0" w:space="0" w:color="auto"/>
        <w:right w:val="none" w:sz="0" w:space="0" w:color="auto"/>
      </w:divBdr>
      <w:divsChild>
        <w:div w:id="1926955325">
          <w:marLeft w:val="0"/>
          <w:marRight w:val="0"/>
          <w:marTop w:val="0"/>
          <w:marBottom w:val="0"/>
          <w:divBdr>
            <w:top w:val="none" w:sz="0" w:space="0" w:color="auto"/>
            <w:left w:val="none" w:sz="0" w:space="0" w:color="auto"/>
            <w:bottom w:val="none" w:sz="0" w:space="0" w:color="auto"/>
            <w:right w:val="none" w:sz="0" w:space="0" w:color="auto"/>
          </w:divBdr>
          <w:divsChild>
            <w:div w:id="1951890664">
              <w:marLeft w:val="0"/>
              <w:marRight w:val="0"/>
              <w:marTop w:val="0"/>
              <w:marBottom w:val="0"/>
              <w:divBdr>
                <w:top w:val="none" w:sz="0" w:space="0" w:color="auto"/>
                <w:left w:val="none" w:sz="0" w:space="0" w:color="auto"/>
                <w:bottom w:val="none" w:sz="0" w:space="0" w:color="auto"/>
                <w:right w:val="none" w:sz="0" w:space="0" w:color="auto"/>
              </w:divBdr>
              <w:divsChild>
                <w:div w:id="396438317">
                  <w:marLeft w:val="0"/>
                  <w:marRight w:val="0"/>
                  <w:marTop w:val="0"/>
                  <w:marBottom w:val="0"/>
                  <w:divBdr>
                    <w:top w:val="none" w:sz="0" w:space="0" w:color="auto"/>
                    <w:left w:val="none" w:sz="0" w:space="0" w:color="auto"/>
                    <w:bottom w:val="none" w:sz="0" w:space="0" w:color="auto"/>
                    <w:right w:val="none" w:sz="0" w:space="0" w:color="auto"/>
                  </w:divBdr>
                  <w:divsChild>
                    <w:div w:id="15934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99211">
      <w:bodyDiv w:val="1"/>
      <w:marLeft w:val="0"/>
      <w:marRight w:val="0"/>
      <w:marTop w:val="0"/>
      <w:marBottom w:val="0"/>
      <w:divBdr>
        <w:top w:val="none" w:sz="0" w:space="0" w:color="auto"/>
        <w:left w:val="none" w:sz="0" w:space="0" w:color="auto"/>
        <w:bottom w:val="none" w:sz="0" w:space="0" w:color="auto"/>
        <w:right w:val="none" w:sz="0" w:space="0" w:color="auto"/>
      </w:divBdr>
      <w:divsChild>
        <w:div w:id="434596512">
          <w:marLeft w:val="0"/>
          <w:marRight w:val="0"/>
          <w:marTop w:val="0"/>
          <w:marBottom w:val="0"/>
          <w:divBdr>
            <w:top w:val="none" w:sz="0" w:space="0" w:color="auto"/>
            <w:left w:val="none" w:sz="0" w:space="0" w:color="auto"/>
            <w:bottom w:val="none" w:sz="0" w:space="0" w:color="auto"/>
            <w:right w:val="none" w:sz="0" w:space="0" w:color="auto"/>
          </w:divBdr>
          <w:divsChild>
            <w:div w:id="983661414">
              <w:marLeft w:val="0"/>
              <w:marRight w:val="0"/>
              <w:marTop w:val="0"/>
              <w:marBottom w:val="0"/>
              <w:divBdr>
                <w:top w:val="none" w:sz="0" w:space="0" w:color="auto"/>
                <w:left w:val="none" w:sz="0" w:space="0" w:color="auto"/>
                <w:bottom w:val="none" w:sz="0" w:space="0" w:color="auto"/>
                <w:right w:val="none" w:sz="0" w:space="0" w:color="auto"/>
              </w:divBdr>
              <w:divsChild>
                <w:div w:id="1932352129">
                  <w:marLeft w:val="0"/>
                  <w:marRight w:val="0"/>
                  <w:marTop w:val="0"/>
                  <w:marBottom w:val="0"/>
                  <w:divBdr>
                    <w:top w:val="none" w:sz="0" w:space="0" w:color="auto"/>
                    <w:left w:val="none" w:sz="0" w:space="0" w:color="auto"/>
                    <w:bottom w:val="none" w:sz="0" w:space="0" w:color="auto"/>
                    <w:right w:val="none" w:sz="0" w:space="0" w:color="auto"/>
                  </w:divBdr>
                  <w:divsChild>
                    <w:div w:id="20096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82828">
      <w:bodyDiv w:val="1"/>
      <w:marLeft w:val="0"/>
      <w:marRight w:val="0"/>
      <w:marTop w:val="0"/>
      <w:marBottom w:val="0"/>
      <w:divBdr>
        <w:top w:val="none" w:sz="0" w:space="0" w:color="auto"/>
        <w:left w:val="none" w:sz="0" w:space="0" w:color="auto"/>
        <w:bottom w:val="none" w:sz="0" w:space="0" w:color="auto"/>
        <w:right w:val="none" w:sz="0" w:space="0" w:color="auto"/>
      </w:divBdr>
    </w:div>
    <w:div w:id="323359478">
      <w:bodyDiv w:val="1"/>
      <w:marLeft w:val="0"/>
      <w:marRight w:val="0"/>
      <w:marTop w:val="0"/>
      <w:marBottom w:val="0"/>
      <w:divBdr>
        <w:top w:val="none" w:sz="0" w:space="0" w:color="auto"/>
        <w:left w:val="none" w:sz="0" w:space="0" w:color="auto"/>
        <w:bottom w:val="none" w:sz="0" w:space="0" w:color="auto"/>
        <w:right w:val="none" w:sz="0" w:space="0" w:color="auto"/>
      </w:divBdr>
    </w:div>
    <w:div w:id="340936655">
      <w:bodyDiv w:val="1"/>
      <w:marLeft w:val="0"/>
      <w:marRight w:val="0"/>
      <w:marTop w:val="0"/>
      <w:marBottom w:val="0"/>
      <w:divBdr>
        <w:top w:val="none" w:sz="0" w:space="0" w:color="auto"/>
        <w:left w:val="none" w:sz="0" w:space="0" w:color="auto"/>
        <w:bottom w:val="none" w:sz="0" w:space="0" w:color="auto"/>
        <w:right w:val="none" w:sz="0" w:space="0" w:color="auto"/>
      </w:divBdr>
      <w:divsChild>
        <w:div w:id="1368287727">
          <w:marLeft w:val="0"/>
          <w:marRight w:val="0"/>
          <w:marTop w:val="0"/>
          <w:marBottom w:val="0"/>
          <w:divBdr>
            <w:top w:val="none" w:sz="0" w:space="0" w:color="auto"/>
            <w:left w:val="none" w:sz="0" w:space="0" w:color="auto"/>
            <w:bottom w:val="none" w:sz="0" w:space="0" w:color="auto"/>
            <w:right w:val="none" w:sz="0" w:space="0" w:color="auto"/>
          </w:divBdr>
          <w:divsChild>
            <w:div w:id="378630394">
              <w:marLeft w:val="0"/>
              <w:marRight w:val="0"/>
              <w:marTop w:val="0"/>
              <w:marBottom w:val="0"/>
              <w:divBdr>
                <w:top w:val="none" w:sz="0" w:space="0" w:color="auto"/>
                <w:left w:val="none" w:sz="0" w:space="0" w:color="auto"/>
                <w:bottom w:val="none" w:sz="0" w:space="0" w:color="auto"/>
                <w:right w:val="none" w:sz="0" w:space="0" w:color="auto"/>
              </w:divBdr>
              <w:divsChild>
                <w:div w:id="108597159">
                  <w:marLeft w:val="0"/>
                  <w:marRight w:val="0"/>
                  <w:marTop w:val="0"/>
                  <w:marBottom w:val="0"/>
                  <w:divBdr>
                    <w:top w:val="none" w:sz="0" w:space="0" w:color="auto"/>
                    <w:left w:val="none" w:sz="0" w:space="0" w:color="auto"/>
                    <w:bottom w:val="none" w:sz="0" w:space="0" w:color="auto"/>
                    <w:right w:val="none" w:sz="0" w:space="0" w:color="auto"/>
                  </w:divBdr>
                  <w:divsChild>
                    <w:div w:id="9256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0569">
      <w:bodyDiv w:val="1"/>
      <w:marLeft w:val="0"/>
      <w:marRight w:val="0"/>
      <w:marTop w:val="0"/>
      <w:marBottom w:val="0"/>
      <w:divBdr>
        <w:top w:val="none" w:sz="0" w:space="0" w:color="auto"/>
        <w:left w:val="none" w:sz="0" w:space="0" w:color="auto"/>
        <w:bottom w:val="none" w:sz="0" w:space="0" w:color="auto"/>
        <w:right w:val="none" w:sz="0" w:space="0" w:color="auto"/>
      </w:divBdr>
    </w:div>
    <w:div w:id="363678805">
      <w:bodyDiv w:val="1"/>
      <w:marLeft w:val="0"/>
      <w:marRight w:val="0"/>
      <w:marTop w:val="0"/>
      <w:marBottom w:val="0"/>
      <w:divBdr>
        <w:top w:val="none" w:sz="0" w:space="0" w:color="auto"/>
        <w:left w:val="none" w:sz="0" w:space="0" w:color="auto"/>
        <w:bottom w:val="none" w:sz="0" w:space="0" w:color="auto"/>
        <w:right w:val="none" w:sz="0" w:space="0" w:color="auto"/>
      </w:divBdr>
    </w:div>
    <w:div w:id="390352775">
      <w:bodyDiv w:val="1"/>
      <w:marLeft w:val="0"/>
      <w:marRight w:val="0"/>
      <w:marTop w:val="0"/>
      <w:marBottom w:val="0"/>
      <w:divBdr>
        <w:top w:val="none" w:sz="0" w:space="0" w:color="auto"/>
        <w:left w:val="none" w:sz="0" w:space="0" w:color="auto"/>
        <w:bottom w:val="none" w:sz="0" w:space="0" w:color="auto"/>
        <w:right w:val="none" w:sz="0" w:space="0" w:color="auto"/>
      </w:divBdr>
    </w:div>
    <w:div w:id="395588861">
      <w:bodyDiv w:val="1"/>
      <w:marLeft w:val="0"/>
      <w:marRight w:val="0"/>
      <w:marTop w:val="0"/>
      <w:marBottom w:val="0"/>
      <w:divBdr>
        <w:top w:val="none" w:sz="0" w:space="0" w:color="auto"/>
        <w:left w:val="none" w:sz="0" w:space="0" w:color="auto"/>
        <w:bottom w:val="none" w:sz="0" w:space="0" w:color="auto"/>
        <w:right w:val="none" w:sz="0" w:space="0" w:color="auto"/>
      </w:divBdr>
    </w:div>
    <w:div w:id="413361969">
      <w:bodyDiv w:val="1"/>
      <w:marLeft w:val="0"/>
      <w:marRight w:val="0"/>
      <w:marTop w:val="0"/>
      <w:marBottom w:val="0"/>
      <w:divBdr>
        <w:top w:val="none" w:sz="0" w:space="0" w:color="auto"/>
        <w:left w:val="none" w:sz="0" w:space="0" w:color="auto"/>
        <w:bottom w:val="none" w:sz="0" w:space="0" w:color="auto"/>
        <w:right w:val="none" w:sz="0" w:space="0" w:color="auto"/>
      </w:divBdr>
      <w:divsChild>
        <w:div w:id="1905949955">
          <w:marLeft w:val="0"/>
          <w:marRight w:val="0"/>
          <w:marTop w:val="0"/>
          <w:marBottom w:val="0"/>
          <w:divBdr>
            <w:top w:val="none" w:sz="0" w:space="0" w:color="auto"/>
            <w:left w:val="none" w:sz="0" w:space="0" w:color="auto"/>
            <w:bottom w:val="none" w:sz="0" w:space="0" w:color="auto"/>
            <w:right w:val="none" w:sz="0" w:space="0" w:color="auto"/>
          </w:divBdr>
          <w:divsChild>
            <w:div w:id="38362288">
              <w:marLeft w:val="0"/>
              <w:marRight w:val="0"/>
              <w:marTop w:val="0"/>
              <w:marBottom w:val="0"/>
              <w:divBdr>
                <w:top w:val="none" w:sz="0" w:space="0" w:color="auto"/>
                <w:left w:val="none" w:sz="0" w:space="0" w:color="auto"/>
                <w:bottom w:val="none" w:sz="0" w:space="0" w:color="auto"/>
                <w:right w:val="none" w:sz="0" w:space="0" w:color="auto"/>
              </w:divBdr>
              <w:divsChild>
                <w:div w:id="1239249264">
                  <w:marLeft w:val="0"/>
                  <w:marRight w:val="0"/>
                  <w:marTop w:val="0"/>
                  <w:marBottom w:val="0"/>
                  <w:divBdr>
                    <w:top w:val="none" w:sz="0" w:space="0" w:color="auto"/>
                    <w:left w:val="none" w:sz="0" w:space="0" w:color="auto"/>
                    <w:bottom w:val="none" w:sz="0" w:space="0" w:color="auto"/>
                    <w:right w:val="none" w:sz="0" w:space="0" w:color="auto"/>
                  </w:divBdr>
                  <w:divsChild>
                    <w:div w:id="3187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93858">
      <w:bodyDiv w:val="1"/>
      <w:marLeft w:val="0"/>
      <w:marRight w:val="0"/>
      <w:marTop w:val="0"/>
      <w:marBottom w:val="0"/>
      <w:divBdr>
        <w:top w:val="none" w:sz="0" w:space="0" w:color="auto"/>
        <w:left w:val="none" w:sz="0" w:space="0" w:color="auto"/>
        <w:bottom w:val="none" w:sz="0" w:space="0" w:color="auto"/>
        <w:right w:val="none" w:sz="0" w:space="0" w:color="auto"/>
      </w:divBdr>
      <w:divsChild>
        <w:div w:id="970406963">
          <w:marLeft w:val="0"/>
          <w:marRight w:val="0"/>
          <w:marTop w:val="0"/>
          <w:marBottom w:val="0"/>
          <w:divBdr>
            <w:top w:val="single" w:sz="8" w:space="1" w:color="auto"/>
            <w:left w:val="single" w:sz="8" w:space="4" w:color="auto"/>
            <w:bottom w:val="single" w:sz="8" w:space="1" w:color="auto"/>
            <w:right w:val="single" w:sz="8" w:space="4" w:color="auto"/>
          </w:divBdr>
        </w:div>
      </w:divsChild>
    </w:div>
    <w:div w:id="460802620">
      <w:bodyDiv w:val="1"/>
      <w:marLeft w:val="0"/>
      <w:marRight w:val="0"/>
      <w:marTop w:val="0"/>
      <w:marBottom w:val="0"/>
      <w:divBdr>
        <w:top w:val="none" w:sz="0" w:space="0" w:color="auto"/>
        <w:left w:val="none" w:sz="0" w:space="0" w:color="auto"/>
        <w:bottom w:val="none" w:sz="0" w:space="0" w:color="auto"/>
        <w:right w:val="none" w:sz="0" w:space="0" w:color="auto"/>
      </w:divBdr>
    </w:div>
    <w:div w:id="464006189">
      <w:bodyDiv w:val="1"/>
      <w:marLeft w:val="0"/>
      <w:marRight w:val="0"/>
      <w:marTop w:val="0"/>
      <w:marBottom w:val="0"/>
      <w:divBdr>
        <w:top w:val="none" w:sz="0" w:space="0" w:color="auto"/>
        <w:left w:val="none" w:sz="0" w:space="0" w:color="auto"/>
        <w:bottom w:val="none" w:sz="0" w:space="0" w:color="auto"/>
        <w:right w:val="none" w:sz="0" w:space="0" w:color="auto"/>
      </w:divBdr>
    </w:div>
    <w:div w:id="496111967">
      <w:bodyDiv w:val="1"/>
      <w:marLeft w:val="0"/>
      <w:marRight w:val="0"/>
      <w:marTop w:val="0"/>
      <w:marBottom w:val="0"/>
      <w:divBdr>
        <w:top w:val="none" w:sz="0" w:space="0" w:color="auto"/>
        <w:left w:val="none" w:sz="0" w:space="0" w:color="auto"/>
        <w:bottom w:val="none" w:sz="0" w:space="0" w:color="auto"/>
        <w:right w:val="none" w:sz="0" w:space="0" w:color="auto"/>
      </w:divBdr>
    </w:div>
    <w:div w:id="515538207">
      <w:bodyDiv w:val="1"/>
      <w:marLeft w:val="0"/>
      <w:marRight w:val="0"/>
      <w:marTop w:val="0"/>
      <w:marBottom w:val="0"/>
      <w:divBdr>
        <w:top w:val="none" w:sz="0" w:space="0" w:color="auto"/>
        <w:left w:val="none" w:sz="0" w:space="0" w:color="auto"/>
        <w:bottom w:val="none" w:sz="0" w:space="0" w:color="auto"/>
        <w:right w:val="none" w:sz="0" w:space="0" w:color="auto"/>
      </w:divBdr>
    </w:div>
    <w:div w:id="523835419">
      <w:bodyDiv w:val="1"/>
      <w:marLeft w:val="0"/>
      <w:marRight w:val="0"/>
      <w:marTop w:val="0"/>
      <w:marBottom w:val="0"/>
      <w:divBdr>
        <w:top w:val="none" w:sz="0" w:space="0" w:color="auto"/>
        <w:left w:val="none" w:sz="0" w:space="0" w:color="auto"/>
        <w:bottom w:val="none" w:sz="0" w:space="0" w:color="auto"/>
        <w:right w:val="none" w:sz="0" w:space="0" w:color="auto"/>
      </w:divBdr>
      <w:divsChild>
        <w:div w:id="643201820">
          <w:marLeft w:val="0"/>
          <w:marRight w:val="0"/>
          <w:marTop w:val="0"/>
          <w:marBottom w:val="0"/>
          <w:divBdr>
            <w:top w:val="none" w:sz="0" w:space="0" w:color="auto"/>
            <w:left w:val="none" w:sz="0" w:space="0" w:color="auto"/>
            <w:bottom w:val="none" w:sz="0" w:space="0" w:color="auto"/>
            <w:right w:val="none" w:sz="0" w:space="0" w:color="auto"/>
          </w:divBdr>
          <w:divsChild>
            <w:div w:id="485437221">
              <w:marLeft w:val="0"/>
              <w:marRight w:val="0"/>
              <w:marTop w:val="0"/>
              <w:marBottom w:val="0"/>
              <w:divBdr>
                <w:top w:val="none" w:sz="0" w:space="0" w:color="auto"/>
                <w:left w:val="none" w:sz="0" w:space="0" w:color="auto"/>
                <w:bottom w:val="none" w:sz="0" w:space="0" w:color="auto"/>
                <w:right w:val="none" w:sz="0" w:space="0" w:color="auto"/>
              </w:divBdr>
              <w:divsChild>
                <w:div w:id="7406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5245">
      <w:bodyDiv w:val="1"/>
      <w:marLeft w:val="0"/>
      <w:marRight w:val="0"/>
      <w:marTop w:val="0"/>
      <w:marBottom w:val="0"/>
      <w:divBdr>
        <w:top w:val="none" w:sz="0" w:space="0" w:color="auto"/>
        <w:left w:val="none" w:sz="0" w:space="0" w:color="auto"/>
        <w:bottom w:val="none" w:sz="0" w:space="0" w:color="auto"/>
        <w:right w:val="none" w:sz="0" w:space="0" w:color="auto"/>
      </w:divBdr>
    </w:div>
    <w:div w:id="581573493">
      <w:bodyDiv w:val="1"/>
      <w:marLeft w:val="0"/>
      <w:marRight w:val="0"/>
      <w:marTop w:val="0"/>
      <w:marBottom w:val="0"/>
      <w:divBdr>
        <w:top w:val="none" w:sz="0" w:space="0" w:color="auto"/>
        <w:left w:val="none" w:sz="0" w:space="0" w:color="auto"/>
        <w:bottom w:val="none" w:sz="0" w:space="0" w:color="auto"/>
        <w:right w:val="none" w:sz="0" w:space="0" w:color="auto"/>
      </w:divBdr>
      <w:divsChild>
        <w:div w:id="776680889">
          <w:marLeft w:val="0"/>
          <w:marRight w:val="0"/>
          <w:marTop w:val="0"/>
          <w:marBottom w:val="0"/>
          <w:divBdr>
            <w:top w:val="none" w:sz="0" w:space="0" w:color="auto"/>
            <w:left w:val="none" w:sz="0" w:space="0" w:color="auto"/>
            <w:bottom w:val="none" w:sz="0" w:space="0" w:color="auto"/>
            <w:right w:val="none" w:sz="0" w:space="0" w:color="auto"/>
          </w:divBdr>
          <w:divsChild>
            <w:div w:id="1830244746">
              <w:marLeft w:val="0"/>
              <w:marRight w:val="0"/>
              <w:marTop w:val="0"/>
              <w:marBottom w:val="0"/>
              <w:divBdr>
                <w:top w:val="none" w:sz="0" w:space="0" w:color="auto"/>
                <w:left w:val="none" w:sz="0" w:space="0" w:color="auto"/>
                <w:bottom w:val="none" w:sz="0" w:space="0" w:color="auto"/>
                <w:right w:val="none" w:sz="0" w:space="0" w:color="auto"/>
              </w:divBdr>
              <w:divsChild>
                <w:div w:id="2053729053">
                  <w:marLeft w:val="0"/>
                  <w:marRight w:val="0"/>
                  <w:marTop w:val="0"/>
                  <w:marBottom w:val="0"/>
                  <w:divBdr>
                    <w:top w:val="none" w:sz="0" w:space="0" w:color="auto"/>
                    <w:left w:val="none" w:sz="0" w:space="0" w:color="auto"/>
                    <w:bottom w:val="none" w:sz="0" w:space="0" w:color="auto"/>
                    <w:right w:val="none" w:sz="0" w:space="0" w:color="auto"/>
                  </w:divBdr>
                  <w:divsChild>
                    <w:div w:id="281961842">
                      <w:marLeft w:val="0"/>
                      <w:marRight w:val="0"/>
                      <w:marTop w:val="0"/>
                      <w:marBottom w:val="0"/>
                      <w:divBdr>
                        <w:top w:val="none" w:sz="0" w:space="0" w:color="auto"/>
                        <w:left w:val="none" w:sz="0" w:space="0" w:color="auto"/>
                        <w:bottom w:val="none" w:sz="0" w:space="0" w:color="auto"/>
                        <w:right w:val="none" w:sz="0" w:space="0" w:color="auto"/>
                      </w:divBdr>
                    </w:div>
                  </w:divsChild>
                </w:div>
                <w:div w:id="2107992625">
                  <w:marLeft w:val="0"/>
                  <w:marRight w:val="0"/>
                  <w:marTop w:val="0"/>
                  <w:marBottom w:val="0"/>
                  <w:divBdr>
                    <w:top w:val="none" w:sz="0" w:space="0" w:color="auto"/>
                    <w:left w:val="none" w:sz="0" w:space="0" w:color="auto"/>
                    <w:bottom w:val="none" w:sz="0" w:space="0" w:color="auto"/>
                    <w:right w:val="none" w:sz="0" w:space="0" w:color="auto"/>
                  </w:divBdr>
                  <w:divsChild>
                    <w:div w:id="17029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44253">
      <w:bodyDiv w:val="1"/>
      <w:marLeft w:val="0"/>
      <w:marRight w:val="0"/>
      <w:marTop w:val="0"/>
      <w:marBottom w:val="0"/>
      <w:divBdr>
        <w:top w:val="none" w:sz="0" w:space="0" w:color="auto"/>
        <w:left w:val="none" w:sz="0" w:space="0" w:color="auto"/>
        <w:bottom w:val="none" w:sz="0" w:space="0" w:color="auto"/>
        <w:right w:val="none" w:sz="0" w:space="0" w:color="auto"/>
      </w:divBdr>
      <w:divsChild>
        <w:div w:id="2031371113">
          <w:marLeft w:val="0"/>
          <w:marRight w:val="0"/>
          <w:marTop w:val="0"/>
          <w:marBottom w:val="0"/>
          <w:divBdr>
            <w:top w:val="single" w:sz="8" w:space="1" w:color="auto"/>
            <w:left w:val="single" w:sz="8" w:space="4" w:color="auto"/>
            <w:bottom w:val="single" w:sz="8" w:space="1" w:color="auto"/>
            <w:right w:val="single" w:sz="8" w:space="4" w:color="auto"/>
          </w:divBdr>
        </w:div>
      </w:divsChild>
    </w:div>
    <w:div w:id="613709059">
      <w:bodyDiv w:val="1"/>
      <w:marLeft w:val="0"/>
      <w:marRight w:val="0"/>
      <w:marTop w:val="0"/>
      <w:marBottom w:val="0"/>
      <w:divBdr>
        <w:top w:val="none" w:sz="0" w:space="0" w:color="auto"/>
        <w:left w:val="none" w:sz="0" w:space="0" w:color="auto"/>
        <w:bottom w:val="none" w:sz="0" w:space="0" w:color="auto"/>
        <w:right w:val="none" w:sz="0" w:space="0" w:color="auto"/>
      </w:divBdr>
    </w:div>
    <w:div w:id="626548710">
      <w:bodyDiv w:val="1"/>
      <w:marLeft w:val="0"/>
      <w:marRight w:val="0"/>
      <w:marTop w:val="0"/>
      <w:marBottom w:val="0"/>
      <w:divBdr>
        <w:top w:val="none" w:sz="0" w:space="0" w:color="auto"/>
        <w:left w:val="none" w:sz="0" w:space="0" w:color="auto"/>
        <w:bottom w:val="none" w:sz="0" w:space="0" w:color="auto"/>
        <w:right w:val="none" w:sz="0" w:space="0" w:color="auto"/>
      </w:divBdr>
    </w:div>
    <w:div w:id="633021488">
      <w:bodyDiv w:val="1"/>
      <w:marLeft w:val="0"/>
      <w:marRight w:val="0"/>
      <w:marTop w:val="0"/>
      <w:marBottom w:val="0"/>
      <w:divBdr>
        <w:top w:val="none" w:sz="0" w:space="0" w:color="auto"/>
        <w:left w:val="none" w:sz="0" w:space="0" w:color="auto"/>
        <w:bottom w:val="none" w:sz="0" w:space="0" w:color="auto"/>
        <w:right w:val="none" w:sz="0" w:space="0" w:color="auto"/>
      </w:divBdr>
    </w:div>
    <w:div w:id="643778571">
      <w:bodyDiv w:val="1"/>
      <w:marLeft w:val="0"/>
      <w:marRight w:val="0"/>
      <w:marTop w:val="0"/>
      <w:marBottom w:val="0"/>
      <w:divBdr>
        <w:top w:val="none" w:sz="0" w:space="0" w:color="auto"/>
        <w:left w:val="none" w:sz="0" w:space="0" w:color="auto"/>
        <w:bottom w:val="none" w:sz="0" w:space="0" w:color="auto"/>
        <w:right w:val="none" w:sz="0" w:space="0" w:color="auto"/>
      </w:divBdr>
    </w:div>
    <w:div w:id="664868166">
      <w:bodyDiv w:val="1"/>
      <w:marLeft w:val="0"/>
      <w:marRight w:val="0"/>
      <w:marTop w:val="0"/>
      <w:marBottom w:val="0"/>
      <w:divBdr>
        <w:top w:val="none" w:sz="0" w:space="0" w:color="auto"/>
        <w:left w:val="none" w:sz="0" w:space="0" w:color="auto"/>
        <w:bottom w:val="none" w:sz="0" w:space="0" w:color="auto"/>
        <w:right w:val="none" w:sz="0" w:space="0" w:color="auto"/>
      </w:divBdr>
    </w:div>
    <w:div w:id="665547627">
      <w:bodyDiv w:val="1"/>
      <w:marLeft w:val="0"/>
      <w:marRight w:val="0"/>
      <w:marTop w:val="0"/>
      <w:marBottom w:val="0"/>
      <w:divBdr>
        <w:top w:val="none" w:sz="0" w:space="0" w:color="auto"/>
        <w:left w:val="none" w:sz="0" w:space="0" w:color="auto"/>
        <w:bottom w:val="none" w:sz="0" w:space="0" w:color="auto"/>
        <w:right w:val="none" w:sz="0" w:space="0" w:color="auto"/>
      </w:divBdr>
    </w:div>
    <w:div w:id="685865493">
      <w:bodyDiv w:val="1"/>
      <w:marLeft w:val="0"/>
      <w:marRight w:val="0"/>
      <w:marTop w:val="0"/>
      <w:marBottom w:val="0"/>
      <w:divBdr>
        <w:top w:val="none" w:sz="0" w:space="0" w:color="auto"/>
        <w:left w:val="none" w:sz="0" w:space="0" w:color="auto"/>
        <w:bottom w:val="none" w:sz="0" w:space="0" w:color="auto"/>
        <w:right w:val="none" w:sz="0" w:space="0" w:color="auto"/>
      </w:divBdr>
      <w:divsChild>
        <w:div w:id="515002541">
          <w:marLeft w:val="0"/>
          <w:marRight w:val="0"/>
          <w:marTop w:val="0"/>
          <w:marBottom w:val="0"/>
          <w:divBdr>
            <w:top w:val="none" w:sz="0" w:space="0" w:color="auto"/>
            <w:left w:val="none" w:sz="0" w:space="0" w:color="auto"/>
            <w:bottom w:val="none" w:sz="0" w:space="0" w:color="auto"/>
            <w:right w:val="none" w:sz="0" w:space="0" w:color="auto"/>
          </w:divBdr>
          <w:divsChild>
            <w:div w:id="924993635">
              <w:marLeft w:val="0"/>
              <w:marRight w:val="0"/>
              <w:marTop w:val="0"/>
              <w:marBottom w:val="0"/>
              <w:divBdr>
                <w:top w:val="none" w:sz="0" w:space="0" w:color="auto"/>
                <w:left w:val="none" w:sz="0" w:space="0" w:color="auto"/>
                <w:bottom w:val="none" w:sz="0" w:space="0" w:color="auto"/>
                <w:right w:val="none" w:sz="0" w:space="0" w:color="auto"/>
              </w:divBdr>
              <w:divsChild>
                <w:div w:id="838077946">
                  <w:marLeft w:val="0"/>
                  <w:marRight w:val="0"/>
                  <w:marTop w:val="0"/>
                  <w:marBottom w:val="0"/>
                  <w:divBdr>
                    <w:top w:val="none" w:sz="0" w:space="0" w:color="auto"/>
                    <w:left w:val="none" w:sz="0" w:space="0" w:color="auto"/>
                    <w:bottom w:val="none" w:sz="0" w:space="0" w:color="auto"/>
                    <w:right w:val="none" w:sz="0" w:space="0" w:color="auto"/>
                  </w:divBdr>
                  <w:divsChild>
                    <w:div w:id="6549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82024">
      <w:bodyDiv w:val="1"/>
      <w:marLeft w:val="0"/>
      <w:marRight w:val="0"/>
      <w:marTop w:val="0"/>
      <w:marBottom w:val="0"/>
      <w:divBdr>
        <w:top w:val="none" w:sz="0" w:space="0" w:color="auto"/>
        <w:left w:val="none" w:sz="0" w:space="0" w:color="auto"/>
        <w:bottom w:val="none" w:sz="0" w:space="0" w:color="auto"/>
        <w:right w:val="none" w:sz="0" w:space="0" w:color="auto"/>
      </w:divBdr>
      <w:divsChild>
        <w:div w:id="1018655423">
          <w:marLeft w:val="0"/>
          <w:marRight w:val="0"/>
          <w:marTop w:val="0"/>
          <w:marBottom w:val="0"/>
          <w:divBdr>
            <w:top w:val="none" w:sz="0" w:space="0" w:color="auto"/>
            <w:left w:val="none" w:sz="0" w:space="0" w:color="auto"/>
            <w:bottom w:val="none" w:sz="0" w:space="0" w:color="auto"/>
            <w:right w:val="none" w:sz="0" w:space="0" w:color="auto"/>
          </w:divBdr>
          <w:divsChild>
            <w:div w:id="1036851163">
              <w:marLeft w:val="0"/>
              <w:marRight w:val="0"/>
              <w:marTop w:val="0"/>
              <w:marBottom w:val="0"/>
              <w:divBdr>
                <w:top w:val="none" w:sz="0" w:space="0" w:color="auto"/>
                <w:left w:val="none" w:sz="0" w:space="0" w:color="auto"/>
                <w:bottom w:val="none" w:sz="0" w:space="0" w:color="auto"/>
                <w:right w:val="none" w:sz="0" w:space="0" w:color="auto"/>
              </w:divBdr>
              <w:divsChild>
                <w:div w:id="317996985">
                  <w:marLeft w:val="0"/>
                  <w:marRight w:val="0"/>
                  <w:marTop w:val="0"/>
                  <w:marBottom w:val="0"/>
                  <w:divBdr>
                    <w:top w:val="none" w:sz="0" w:space="0" w:color="auto"/>
                    <w:left w:val="none" w:sz="0" w:space="0" w:color="auto"/>
                    <w:bottom w:val="none" w:sz="0" w:space="0" w:color="auto"/>
                    <w:right w:val="none" w:sz="0" w:space="0" w:color="auto"/>
                  </w:divBdr>
                  <w:divsChild>
                    <w:div w:id="929049183">
                      <w:marLeft w:val="0"/>
                      <w:marRight w:val="0"/>
                      <w:marTop w:val="0"/>
                      <w:marBottom w:val="0"/>
                      <w:divBdr>
                        <w:top w:val="none" w:sz="0" w:space="0" w:color="auto"/>
                        <w:left w:val="none" w:sz="0" w:space="0" w:color="auto"/>
                        <w:bottom w:val="none" w:sz="0" w:space="0" w:color="auto"/>
                        <w:right w:val="none" w:sz="0" w:space="0" w:color="auto"/>
                      </w:divBdr>
                    </w:div>
                  </w:divsChild>
                </w:div>
                <w:div w:id="1325817510">
                  <w:marLeft w:val="0"/>
                  <w:marRight w:val="0"/>
                  <w:marTop w:val="0"/>
                  <w:marBottom w:val="0"/>
                  <w:divBdr>
                    <w:top w:val="none" w:sz="0" w:space="0" w:color="auto"/>
                    <w:left w:val="none" w:sz="0" w:space="0" w:color="auto"/>
                    <w:bottom w:val="none" w:sz="0" w:space="0" w:color="auto"/>
                    <w:right w:val="none" w:sz="0" w:space="0" w:color="auto"/>
                  </w:divBdr>
                  <w:divsChild>
                    <w:div w:id="669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1114">
      <w:bodyDiv w:val="1"/>
      <w:marLeft w:val="0"/>
      <w:marRight w:val="0"/>
      <w:marTop w:val="0"/>
      <w:marBottom w:val="0"/>
      <w:divBdr>
        <w:top w:val="none" w:sz="0" w:space="0" w:color="auto"/>
        <w:left w:val="none" w:sz="0" w:space="0" w:color="auto"/>
        <w:bottom w:val="none" w:sz="0" w:space="0" w:color="auto"/>
        <w:right w:val="none" w:sz="0" w:space="0" w:color="auto"/>
      </w:divBdr>
    </w:div>
    <w:div w:id="792331740">
      <w:bodyDiv w:val="1"/>
      <w:marLeft w:val="0"/>
      <w:marRight w:val="0"/>
      <w:marTop w:val="0"/>
      <w:marBottom w:val="0"/>
      <w:divBdr>
        <w:top w:val="none" w:sz="0" w:space="0" w:color="auto"/>
        <w:left w:val="none" w:sz="0" w:space="0" w:color="auto"/>
        <w:bottom w:val="none" w:sz="0" w:space="0" w:color="auto"/>
        <w:right w:val="none" w:sz="0" w:space="0" w:color="auto"/>
      </w:divBdr>
    </w:div>
    <w:div w:id="821963402">
      <w:bodyDiv w:val="1"/>
      <w:marLeft w:val="0"/>
      <w:marRight w:val="0"/>
      <w:marTop w:val="0"/>
      <w:marBottom w:val="0"/>
      <w:divBdr>
        <w:top w:val="none" w:sz="0" w:space="0" w:color="auto"/>
        <w:left w:val="none" w:sz="0" w:space="0" w:color="auto"/>
        <w:bottom w:val="none" w:sz="0" w:space="0" w:color="auto"/>
        <w:right w:val="none" w:sz="0" w:space="0" w:color="auto"/>
      </w:divBdr>
      <w:divsChild>
        <w:div w:id="995105815">
          <w:marLeft w:val="0"/>
          <w:marRight w:val="0"/>
          <w:marTop w:val="0"/>
          <w:marBottom w:val="0"/>
          <w:divBdr>
            <w:top w:val="none" w:sz="0" w:space="0" w:color="auto"/>
            <w:left w:val="none" w:sz="0" w:space="0" w:color="auto"/>
            <w:bottom w:val="none" w:sz="0" w:space="0" w:color="auto"/>
            <w:right w:val="none" w:sz="0" w:space="0" w:color="auto"/>
          </w:divBdr>
          <w:divsChild>
            <w:div w:id="31342554">
              <w:marLeft w:val="0"/>
              <w:marRight w:val="0"/>
              <w:marTop w:val="0"/>
              <w:marBottom w:val="0"/>
              <w:divBdr>
                <w:top w:val="none" w:sz="0" w:space="0" w:color="auto"/>
                <w:left w:val="none" w:sz="0" w:space="0" w:color="auto"/>
                <w:bottom w:val="none" w:sz="0" w:space="0" w:color="auto"/>
                <w:right w:val="none" w:sz="0" w:space="0" w:color="auto"/>
              </w:divBdr>
              <w:divsChild>
                <w:div w:id="13670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5860">
      <w:bodyDiv w:val="1"/>
      <w:marLeft w:val="0"/>
      <w:marRight w:val="0"/>
      <w:marTop w:val="0"/>
      <w:marBottom w:val="0"/>
      <w:divBdr>
        <w:top w:val="none" w:sz="0" w:space="0" w:color="auto"/>
        <w:left w:val="none" w:sz="0" w:space="0" w:color="auto"/>
        <w:bottom w:val="none" w:sz="0" w:space="0" w:color="auto"/>
        <w:right w:val="none" w:sz="0" w:space="0" w:color="auto"/>
      </w:divBdr>
      <w:divsChild>
        <w:div w:id="19938042">
          <w:marLeft w:val="0"/>
          <w:marRight w:val="0"/>
          <w:marTop w:val="0"/>
          <w:marBottom w:val="0"/>
          <w:divBdr>
            <w:top w:val="none" w:sz="0" w:space="0" w:color="auto"/>
            <w:left w:val="none" w:sz="0" w:space="0" w:color="auto"/>
            <w:bottom w:val="none" w:sz="0" w:space="0" w:color="auto"/>
            <w:right w:val="none" w:sz="0" w:space="0" w:color="auto"/>
          </w:divBdr>
          <w:divsChild>
            <w:div w:id="1934047796">
              <w:marLeft w:val="0"/>
              <w:marRight w:val="0"/>
              <w:marTop w:val="0"/>
              <w:marBottom w:val="0"/>
              <w:divBdr>
                <w:top w:val="none" w:sz="0" w:space="0" w:color="auto"/>
                <w:left w:val="none" w:sz="0" w:space="0" w:color="auto"/>
                <w:bottom w:val="none" w:sz="0" w:space="0" w:color="auto"/>
                <w:right w:val="none" w:sz="0" w:space="0" w:color="auto"/>
              </w:divBdr>
              <w:divsChild>
                <w:div w:id="1417823994">
                  <w:marLeft w:val="0"/>
                  <w:marRight w:val="0"/>
                  <w:marTop w:val="0"/>
                  <w:marBottom w:val="0"/>
                  <w:divBdr>
                    <w:top w:val="none" w:sz="0" w:space="0" w:color="auto"/>
                    <w:left w:val="none" w:sz="0" w:space="0" w:color="auto"/>
                    <w:bottom w:val="none" w:sz="0" w:space="0" w:color="auto"/>
                    <w:right w:val="none" w:sz="0" w:space="0" w:color="auto"/>
                  </w:divBdr>
                  <w:divsChild>
                    <w:div w:id="8973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498">
      <w:bodyDiv w:val="1"/>
      <w:marLeft w:val="0"/>
      <w:marRight w:val="0"/>
      <w:marTop w:val="0"/>
      <w:marBottom w:val="0"/>
      <w:divBdr>
        <w:top w:val="none" w:sz="0" w:space="0" w:color="auto"/>
        <w:left w:val="none" w:sz="0" w:space="0" w:color="auto"/>
        <w:bottom w:val="none" w:sz="0" w:space="0" w:color="auto"/>
        <w:right w:val="none" w:sz="0" w:space="0" w:color="auto"/>
      </w:divBdr>
      <w:divsChild>
        <w:div w:id="1608349355">
          <w:marLeft w:val="0"/>
          <w:marRight w:val="0"/>
          <w:marTop w:val="0"/>
          <w:marBottom w:val="0"/>
          <w:divBdr>
            <w:top w:val="none" w:sz="0" w:space="0" w:color="auto"/>
            <w:left w:val="none" w:sz="0" w:space="0" w:color="auto"/>
            <w:bottom w:val="none" w:sz="0" w:space="0" w:color="auto"/>
            <w:right w:val="none" w:sz="0" w:space="0" w:color="auto"/>
          </w:divBdr>
          <w:divsChild>
            <w:div w:id="1055160211">
              <w:marLeft w:val="0"/>
              <w:marRight w:val="0"/>
              <w:marTop w:val="0"/>
              <w:marBottom w:val="0"/>
              <w:divBdr>
                <w:top w:val="none" w:sz="0" w:space="0" w:color="auto"/>
                <w:left w:val="none" w:sz="0" w:space="0" w:color="auto"/>
                <w:bottom w:val="none" w:sz="0" w:space="0" w:color="auto"/>
                <w:right w:val="none" w:sz="0" w:space="0" w:color="auto"/>
              </w:divBdr>
              <w:divsChild>
                <w:div w:id="426510048">
                  <w:marLeft w:val="0"/>
                  <w:marRight w:val="0"/>
                  <w:marTop w:val="0"/>
                  <w:marBottom w:val="0"/>
                  <w:divBdr>
                    <w:top w:val="none" w:sz="0" w:space="0" w:color="auto"/>
                    <w:left w:val="none" w:sz="0" w:space="0" w:color="auto"/>
                    <w:bottom w:val="none" w:sz="0" w:space="0" w:color="auto"/>
                    <w:right w:val="none" w:sz="0" w:space="0" w:color="auto"/>
                  </w:divBdr>
                  <w:divsChild>
                    <w:div w:id="3981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67749">
      <w:bodyDiv w:val="1"/>
      <w:marLeft w:val="0"/>
      <w:marRight w:val="0"/>
      <w:marTop w:val="0"/>
      <w:marBottom w:val="0"/>
      <w:divBdr>
        <w:top w:val="none" w:sz="0" w:space="0" w:color="auto"/>
        <w:left w:val="none" w:sz="0" w:space="0" w:color="auto"/>
        <w:bottom w:val="none" w:sz="0" w:space="0" w:color="auto"/>
        <w:right w:val="none" w:sz="0" w:space="0" w:color="auto"/>
      </w:divBdr>
      <w:divsChild>
        <w:div w:id="720979370">
          <w:marLeft w:val="0"/>
          <w:marRight w:val="0"/>
          <w:marTop w:val="0"/>
          <w:marBottom w:val="0"/>
          <w:divBdr>
            <w:top w:val="none" w:sz="0" w:space="0" w:color="auto"/>
            <w:left w:val="none" w:sz="0" w:space="0" w:color="auto"/>
            <w:bottom w:val="none" w:sz="0" w:space="0" w:color="auto"/>
            <w:right w:val="none" w:sz="0" w:space="0" w:color="auto"/>
          </w:divBdr>
          <w:divsChild>
            <w:div w:id="742987492">
              <w:marLeft w:val="0"/>
              <w:marRight w:val="0"/>
              <w:marTop w:val="0"/>
              <w:marBottom w:val="0"/>
              <w:divBdr>
                <w:top w:val="none" w:sz="0" w:space="0" w:color="auto"/>
                <w:left w:val="none" w:sz="0" w:space="0" w:color="auto"/>
                <w:bottom w:val="none" w:sz="0" w:space="0" w:color="auto"/>
                <w:right w:val="none" w:sz="0" w:space="0" w:color="auto"/>
              </w:divBdr>
              <w:divsChild>
                <w:div w:id="7311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8807">
      <w:bodyDiv w:val="1"/>
      <w:marLeft w:val="0"/>
      <w:marRight w:val="0"/>
      <w:marTop w:val="0"/>
      <w:marBottom w:val="0"/>
      <w:divBdr>
        <w:top w:val="none" w:sz="0" w:space="0" w:color="auto"/>
        <w:left w:val="none" w:sz="0" w:space="0" w:color="auto"/>
        <w:bottom w:val="none" w:sz="0" w:space="0" w:color="auto"/>
        <w:right w:val="none" w:sz="0" w:space="0" w:color="auto"/>
      </w:divBdr>
    </w:div>
    <w:div w:id="934478817">
      <w:bodyDiv w:val="1"/>
      <w:marLeft w:val="0"/>
      <w:marRight w:val="0"/>
      <w:marTop w:val="0"/>
      <w:marBottom w:val="0"/>
      <w:divBdr>
        <w:top w:val="none" w:sz="0" w:space="0" w:color="auto"/>
        <w:left w:val="none" w:sz="0" w:space="0" w:color="auto"/>
        <w:bottom w:val="none" w:sz="0" w:space="0" w:color="auto"/>
        <w:right w:val="none" w:sz="0" w:space="0" w:color="auto"/>
      </w:divBdr>
    </w:div>
    <w:div w:id="954143388">
      <w:bodyDiv w:val="1"/>
      <w:marLeft w:val="0"/>
      <w:marRight w:val="0"/>
      <w:marTop w:val="0"/>
      <w:marBottom w:val="0"/>
      <w:divBdr>
        <w:top w:val="none" w:sz="0" w:space="0" w:color="auto"/>
        <w:left w:val="none" w:sz="0" w:space="0" w:color="auto"/>
        <w:bottom w:val="none" w:sz="0" w:space="0" w:color="auto"/>
        <w:right w:val="none" w:sz="0" w:space="0" w:color="auto"/>
      </w:divBdr>
    </w:div>
    <w:div w:id="958996596">
      <w:bodyDiv w:val="1"/>
      <w:marLeft w:val="0"/>
      <w:marRight w:val="0"/>
      <w:marTop w:val="0"/>
      <w:marBottom w:val="0"/>
      <w:divBdr>
        <w:top w:val="none" w:sz="0" w:space="0" w:color="auto"/>
        <w:left w:val="none" w:sz="0" w:space="0" w:color="auto"/>
        <w:bottom w:val="none" w:sz="0" w:space="0" w:color="auto"/>
        <w:right w:val="none" w:sz="0" w:space="0" w:color="auto"/>
      </w:divBdr>
    </w:div>
    <w:div w:id="974288007">
      <w:bodyDiv w:val="1"/>
      <w:marLeft w:val="0"/>
      <w:marRight w:val="0"/>
      <w:marTop w:val="0"/>
      <w:marBottom w:val="0"/>
      <w:divBdr>
        <w:top w:val="none" w:sz="0" w:space="0" w:color="auto"/>
        <w:left w:val="none" w:sz="0" w:space="0" w:color="auto"/>
        <w:bottom w:val="none" w:sz="0" w:space="0" w:color="auto"/>
        <w:right w:val="none" w:sz="0" w:space="0" w:color="auto"/>
      </w:divBdr>
    </w:div>
    <w:div w:id="1030103843">
      <w:bodyDiv w:val="1"/>
      <w:marLeft w:val="0"/>
      <w:marRight w:val="0"/>
      <w:marTop w:val="0"/>
      <w:marBottom w:val="0"/>
      <w:divBdr>
        <w:top w:val="none" w:sz="0" w:space="0" w:color="auto"/>
        <w:left w:val="none" w:sz="0" w:space="0" w:color="auto"/>
        <w:bottom w:val="none" w:sz="0" w:space="0" w:color="auto"/>
        <w:right w:val="none" w:sz="0" w:space="0" w:color="auto"/>
      </w:divBdr>
    </w:div>
    <w:div w:id="1035882888">
      <w:bodyDiv w:val="1"/>
      <w:marLeft w:val="0"/>
      <w:marRight w:val="0"/>
      <w:marTop w:val="0"/>
      <w:marBottom w:val="0"/>
      <w:divBdr>
        <w:top w:val="none" w:sz="0" w:space="0" w:color="auto"/>
        <w:left w:val="none" w:sz="0" w:space="0" w:color="auto"/>
        <w:bottom w:val="none" w:sz="0" w:space="0" w:color="auto"/>
        <w:right w:val="none" w:sz="0" w:space="0" w:color="auto"/>
      </w:divBdr>
      <w:divsChild>
        <w:div w:id="1037197774">
          <w:marLeft w:val="0"/>
          <w:marRight w:val="0"/>
          <w:marTop w:val="0"/>
          <w:marBottom w:val="0"/>
          <w:divBdr>
            <w:top w:val="none" w:sz="0" w:space="0" w:color="auto"/>
            <w:left w:val="none" w:sz="0" w:space="0" w:color="auto"/>
            <w:bottom w:val="none" w:sz="0" w:space="0" w:color="auto"/>
            <w:right w:val="none" w:sz="0" w:space="0" w:color="auto"/>
          </w:divBdr>
          <w:divsChild>
            <w:div w:id="531695451">
              <w:marLeft w:val="0"/>
              <w:marRight w:val="0"/>
              <w:marTop w:val="0"/>
              <w:marBottom w:val="0"/>
              <w:divBdr>
                <w:top w:val="none" w:sz="0" w:space="0" w:color="auto"/>
                <w:left w:val="none" w:sz="0" w:space="0" w:color="auto"/>
                <w:bottom w:val="none" w:sz="0" w:space="0" w:color="auto"/>
                <w:right w:val="none" w:sz="0" w:space="0" w:color="auto"/>
              </w:divBdr>
              <w:divsChild>
                <w:div w:id="1604606776">
                  <w:marLeft w:val="0"/>
                  <w:marRight w:val="0"/>
                  <w:marTop w:val="0"/>
                  <w:marBottom w:val="0"/>
                  <w:divBdr>
                    <w:top w:val="none" w:sz="0" w:space="0" w:color="auto"/>
                    <w:left w:val="none" w:sz="0" w:space="0" w:color="auto"/>
                    <w:bottom w:val="none" w:sz="0" w:space="0" w:color="auto"/>
                    <w:right w:val="none" w:sz="0" w:space="0" w:color="auto"/>
                  </w:divBdr>
                  <w:divsChild>
                    <w:div w:id="11953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1002">
      <w:bodyDiv w:val="1"/>
      <w:marLeft w:val="0"/>
      <w:marRight w:val="0"/>
      <w:marTop w:val="0"/>
      <w:marBottom w:val="0"/>
      <w:divBdr>
        <w:top w:val="none" w:sz="0" w:space="0" w:color="auto"/>
        <w:left w:val="none" w:sz="0" w:space="0" w:color="auto"/>
        <w:bottom w:val="none" w:sz="0" w:space="0" w:color="auto"/>
        <w:right w:val="none" w:sz="0" w:space="0" w:color="auto"/>
      </w:divBdr>
    </w:div>
    <w:div w:id="1047951298">
      <w:bodyDiv w:val="1"/>
      <w:marLeft w:val="0"/>
      <w:marRight w:val="0"/>
      <w:marTop w:val="0"/>
      <w:marBottom w:val="0"/>
      <w:divBdr>
        <w:top w:val="none" w:sz="0" w:space="0" w:color="auto"/>
        <w:left w:val="none" w:sz="0" w:space="0" w:color="auto"/>
        <w:bottom w:val="none" w:sz="0" w:space="0" w:color="auto"/>
        <w:right w:val="none" w:sz="0" w:space="0" w:color="auto"/>
      </w:divBdr>
    </w:div>
    <w:div w:id="1134131537">
      <w:bodyDiv w:val="1"/>
      <w:marLeft w:val="0"/>
      <w:marRight w:val="0"/>
      <w:marTop w:val="0"/>
      <w:marBottom w:val="0"/>
      <w:divBdr>
        <w:top w:val="none" w:sz="0" w:space="0" w:color="auto"/>
        <w:left w:val="none" w:sz="0" w:space="0" w:color="auto"/>
        <w:bottom w:val="none" w:sz="0" w:space="0" w:color="auto"/>
        <w:right w:val="none" w:sz="0" w:space="0" w:color="auto"/>
      </w:divBdr>
    </w:div>
    <w:div w:id="1159076936">
      <w:bodyDiv w:val="1"/>
      <w:marLeft w:val="0"/>
      <w:marRight w:val="0"/>
      <w:marTop w:val="0"/>
      <w:marBottom w:val="0"/>
      <w:divBdr>
        <w:top w:val="none" w:sz="0" w:space="0" w:color="auto"/>
        <w:left w:val="none" w:sz="0" w:space="0" w:color="auto"/>
        <w:bottom w:val="none" w:sz="0" w:space="0" w:color="auto"/>
        <w:right w:val="none" w:sz="0" w:space="0" w:color="auto"/>
      </w:divBdr>
      <w:divsChild>
        <w:div w:id="2100447202">
          <w:marLeft w:val="0"/>
          <w:marRight w:val="0"/>
          <w:marTop w:val="0"/>
          <w:marBottom w:val="0"/>
          <w:divBdr>
            <w:top w:val="none" w:sz="0" w:space="0" w:color="auto"/>
            <w:left w:val="none" w:sz="0" w:space="0" w:color="auto"/>
            <w:bottom w:val="none" w:sz="0" w:space="0" w:color="auto"/>
            <w:right w:val="none" w:sz="0" w:space="0" w:color="auto"/>
          </w:divBdr>
          <w:divsChild>
            <w:div w:id="619847992">
              <w:marLeft w:val="0"/>
              <w:marRight w:val="0"/>
              <w:marTop w:val="0"/>
              <w:marBottom w:val="0"/>
              <w:divBdr>
                <w:top w:val="none" w:sz="0" w:space="0" w:color="auto"/>
                <w:left w:val="none" w:sz="0" w:space="0" w:color="auto"/>
                <w:bottom w:val="none" w:sz="0" w:space="0" w:color="auto"/>
                <w:right w:val="none" w:sz="0" w:space="0" w:color="auto"/>
              </w:divBdr>
              <w:divsChild>
                <w:div w:id="358819090">
                  <w:marLeft w:val="0"/>
                  <w:marRight w:val="0"/>
                  <w:marTop w:val="0"/>
                  <w:marBottom w:val="0"/>
                  <w:divBdr>
                    <w:top w:val="none" w:sz="0" w:space="0" w:color="auto"/>
                    <w:left w:val="none" w:sz="0" w:space="0" w:color="auto"/>
                    <w:bottom w:val="none" w:sz="0" w:space="0" w:color="auto"/>
                    <w:right w:val="none" w:sz="0" w:space="0" w:color="auto"/>
                  </w:divBdr>
                  <w:divsChild>
                    <w:div w:id="1900509013">
                      <w:marLeft w:val="0"/>
                      <w:marRight w:val="0"/>
                      <w:marTop w:val="0"/>
                      <w:marBottom w:val="0"/>
                      <w:divBdr>
                        <w:top w:val="none" w:sz="0" w:space="0" w:color="auto"/>
                        <w:left w:val="none" w:sz="0" w:space="0" w:color="auto"/>
                        <w:bottom w:val="none" w:sz="0" w:space="0" w:color="auto"/>
                        <w:right w:val="none" w:sz="0" w:space="0" w:color="auto"/>
                      </w:divBdr>
                    </w:div>
                  </w:divsChild>
                </w:div>
                <w:div w:id="677970792">
                  <w:marLeft w:val="0"/>
                  <w:marRight w:val="0"/>
                  <w:marTop w:val="0"/>
                  <w:marBottom w:val="0"/>
                  <w:divBdr>
                    <w:top w:val="none" w:sz="0" w:space="0" w:color="auto"/>
                    <w:left w:val="none" w:sz="0" w:space="0" w:color="auto"/>
                    <w:bottom w:val="none" w:sz="0" w:space="0" w:color="auto"/>
                    <w:right w:val="none" w:sz="0" w:space="0" w:color="auto"/>
                  </w:divBdr>
                  <w:divsChild>
                    <w:div w:id="11175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53326">
      <w:bodyDiv w:val="1"/>
      <w:marLeft w:val="0"/>
      <w:marRight w:val="0"/>
      <w:marTop w:val="0"/>
      <w:marBottom w:val="0"/>
      <w:divBdr>
        <w:top w:val="none" w:sz="0" w:space="0" w:color="auto"/>
        <w:left w:val="none" w:sz="0" w:space="0" w:color="auto"/>
        <w:bottom w:val="none" w:sz="0" w:space="0" w:color="auto"/>
        <w:right w:val="none" w:sz="0" w:space="0" w:color="auto"/>
      </w:divBdr>
    </w:div>
    <w:div w:id="1239292320">
      <w:bodyDiv w:val="1"/>
      <w:marLeft w:val="0"/>
      <w:marRight w:val="0"/>
      <w:marTop w:val="0"/>
      <w:marBottom w:val="0"/>
      <w:divBdr>
        <w:top w:val="none" w:sz="0" w:space="0" w:color="auto"/>
        <w:left w:val="none" w:sz="0" w:space="0" w:color="auto"/>
        <w:bottom w:val="none" w:sz="0" w:space="0" w:color="auto"/>
        <w:right w:val="none" w:sz="0" w:space="0" w:color="auto"/>
      </w:divBdr>
    </w:div>
    <w:div w:id="1253050200">
      <w:bodyDiv w:val="1"/>
      <w:marLeft w:val="0"/>
      <w:marRight w:val="0"/>
      <w:marTop w:val="0"/>
      <w:marBottom w:val="0"/>
      <w:divBdr>
        <w:top w:val="none" w:sz="0" w:space="0" w:color="auto"/>
        <w:left w:val="none" w:sz="0" w:space="0" w:color="auto"/>
        <w:bottom w:val="none" w:sz="0" w:space="0" w:color="auto"/>
        <w:right w:val="none" w:sz="0" w:space="0" w:color="auto"/>
      </w:divBdr>
    </w:div>
    <w:div w:id="1299412062">
      <w:bodyDiv w:val="1"/>
      <w:marLeft w:val="0"/>
      <w:marRight w:val="0"/>
      <w:marTop w:val="0"/>
      <w:marBottom w:val="0"/>
      <w:divBdr>
        <w:top w:val="none" w:sz="0" w:space="0" w:color="auto"/>
        <w:left w:val="none" w:sz="0" w:space="0" w:color="auto"/>
        <w:bottom w:val="none" w:sz="0" w:space="0" w:color="auto"/>
        <w:right w:val="none" w:sz="0" w:space="0" w:color="auto"/>
      </w:divBdr>
    </w:div>
    <w:div w:id="1299845009">
      <w:bodyDiv w:val="1"/>
      <w:marLeft w:val="0"/>
      <w:marRight w:val="0"/>
      <w:marTop w:val="0"/>
      <w:marBottom w:val="0"/>
      <w:divBdr>
        <w:top w:val="none" w:sz="0" w:space="0" w:color="auto"/>
        <w:left w:val="none" w:sz="0" w:space="0" w:color="auto"/>
        <w:bottom w:val="none" w:sz="0" w:space="0" w:color="auto"/>
        <w:right w:val="none" w:sz="0" w:space="0" w:color="auto"/>
      </w:divBdr>
      <w:divsChild>
        <w:div w:id="1085808350">
          <w:marLeft w:val="0"/>
          <w:marRight w:val="0"/>
          <w:marTop w:val="0"/>
          <w:marBottom w:val="0"/>
          <w:divBdr>
            <w:top w:val="none" w:sz="0" w:space="0" w:color="auto"/>
            <w:left w:val="none" w:sz="0" w:space="0" w:color="auto"/>
            <w:bottom w:val="none" w:sz="0" w:space="0" w:color="auto"/>
            <w:right w:val="none" w:sz="0" w:space="0" w:color="auto"/>
          </w:divBdr>
          <w:divsChild>
            <w:div w:id="1724451592">
              <w:marLeft w:val="0"/>
              <w:marRight w:val="0"/>
              <w:marTop w:val="0"/>
              <w:marBottom w:val="0"/>
              <w:divBdr>
                <w:top w:val="none" w:sz="0" w:space="0" w:color="auto"/>
                <w:left w:val="none" w:sz="0" w:space="0" w:color="auto"/>
                <w:bottom w:val="none" w:sz="0" w:space="0" w:color="auto"/>
                <w:right w:val="none" w:sz="0" w:space="0" w:color="auto"/>
              </w:divBdr>
              <w:divsChild>
                <w:div w:id="1940987762">
                  <w:marLeft w:val="0"/>
                  <w:marRight w:val="0"/>
                  <w:marTop w:val="0"/>
                  <w:marBottom w:val="0"/>
                  <w:divBdr>
                    <w:top w:val="none" w:sz="0" w:space="0" w:color="auto"/>
                    <w:left w:val="none" w:sz="0" w:space="0" w:color="auto"/>
                    <w:bottom w:val="none" w:sz="0" w:space="0" w:color="auto"/>
                    <w:right w:val="none" w:sz="0" w:space="0" w:color="auto"/>
                  </w:divBdr>
                  <w:divsChild>
                    <w:div w:id="6412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042">
      <w:bodyDiv w:val="1"/>
      <w:marLeft w:val="0"/>
      <w:marRight w:val="0"/>
      <w:marTop w:val="0"/>
      <w:marBottom w:val="0"/>
      <w:divBdr>
        <w:top w:val="none" w:sz="0" w:space="0" w:color="auto"/>
        <w:left w:val="none" w:sz="0" w:space="0" w:color="auto"/>
        <w:bottom w:val="none" w:sz="0" w:space="0" w:color="auto"/>
        <w:right w:val="none" w:sz="0" w:space="0" w:color="auto"/>
      </w:divBdr>
    </w:div>
    <w:div w:id="1353260462">
      <w:bodyDiv w:val="1"/>
      <w:marLeft w:val="0"/>
      <w:marRight w:val="0"/>
      <w:marTop w:val="0"/>
      <w:marBottom w:val="0"/>
      <w:divBdr>
        <w:top w:val="none" w:sz="0" w:space="0" w:color="auto"/>
        <w:left w:val="none" w:sz="0" w:space="0" w:color="auto"/>
        <w:bottom w:val="none" w:sz="0" w:space="0" w:color="auto"/>
        <w:right w:val="none" w:sz="0" w:space="0" w:color="auto"/>
      </w:divBdr>
      <w:divsChild>
        <w:div w:id="400635750">
          <w:marLeft w:val="0"/>
          <w:marRight w:val="0"/>
          <w:marTop w:val="0"/>
          <w:marBottom w:val="0"/>
          <w:divBdr>
            <w:top w:val="none" w:sz="0" w:space="0" w:color="auto"/>
            <w:left w:val="none" w:sz="0" w:space="0" w:color="auto"/>
            <w:bottom w:val="none" w:sz="0" w:space="0" w:color="auto"/>
            <w:right w:val="none" w:sz="0" w:space="0" w:color="auto"/>
          </w:divBdr>
          <w:divsChild>
            <w:div w:id="810244326">
              <w:marLeft w:val="0"/>
              <w:marRight w:val="0"/>
              <w:marTop w:val="0"/>
              <w:marBottom w:val="0"/>
              <w:divBdr>
                <w:top w:val="none" w:sz="0" w:space="0" w:color="auto"/>
                <w:left w:val="none" w:sz="0" w:space="0" w:color="auto"/>
                <w:bottom w:val="none" w:sz="0" w:space="0" w:color="auto"/>
                <w:right w:val="none" w:sz="0" w:space="0" w:color="auto"/>
              </w:divBdr>
              <w:divsChild>
                <w:div w:id="20288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0836">
      <w:bodyDiv w:val="1"/>
      <w:marLeft w:val="0"/>
      <w:marRight w:val="0"/>
      <w:marTop w:val="0"/>
      <w:marBottom w:val="0"/>
      <w:divBdr>
        <w:top w:val="none" w:sz="0" w:space="0" w:color="auto"/>
        <w:left w:val="none" w:sz="0" w:space="0" w:color="auto"/>
        <w:bottom w:val="none" w:sz="0" w:space="0" w:color="auto"/>
        <w:right w:val="none" w:sz="0" w:space="0" w:color="auto"/>
      </w:divBdr>
      <w:divsChild>
        <w:div w:id="1048723236">
          <w:marLeft w:val="0"/>
          <w:marRight w:val="0"/>
          <w:marTop w:val="0"/>
          <w:marBottom w:val="0"/>
          <w:divBdr>
            <w:top w:val="none" w:sz="0" w:space="0" w:color="auto"/>
            <w:left w:val="none" w:sz="0" w:space="0" w:color="auto"/>
            <w:bottom w:val="none" w:sz="0" w:space="0" w:color="auto"/>
            <w:right w:val="none" w:sz="0" w:space="0" w:color="auto"/>
          </w:divBdr>
          <w:divsChild>
            <w:div w:id="1428384857">
              <w:marLeft w:val="0"/>
              <w:marRight w:val="0"/>
              <w:marTop w:val="0"/>
              <w:marBottom w:val="0"/>
              <w:divBdr>
                <w:top w:val="none" w:sz="0" w:space="0" w:color="auto"/>
                <w:left w:val="none" w:sz="0" w:space="0" w:color="auto"/>
                <w:bottom w:val="none" w:sz="0" w:space="0" w:color="auto"/>
                <w:right w:val="none" w:sz="0" w:space="0" w:color="auto"/>
              </w:divBdr>
              <w:divsChild>
                <w:div w:id="93017316">
                  <w:marLeft w:val="0"/>
                  <w:marRight w:val="0"/>
                  <w:marTop w:val="0"/>
                  <w:marBottom w:val="0"/>
                  <w:divBdr>
                    <w:top w:val="none" w:sz="0" w:space="0" w:color="auto"/>
                    <w:left w:val="none" w:sz="0" w:space="0" w:color="auto"/>
                    <w:bottom w:val="none" w:sz="0" w:space="0" w:color="auto"/>
                    <w:right w:val="none" w:sz="0" w:space="0" w:color="auto"/>
                  </w:divBdr>
                  <w:divsChild>
                    <w:div w:id="2127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31881">
      <w:bodyDiv w:val="1"/>
      <w:marLeft w:val="0"/>
      <w:marRight w:val="0"/>
      <w:marTop w:val="0"/>
      <w:marBottom w:val="0"/>
      <w:divBdr>
        <w:top w:val="none" w:sz="0" w:space="0" w:color="auto"/>
        <w:left w:val="none" w:sz="0" w:space="0" w:color="auto"/>
        <w:bottom w:val="none" w:sz="0" w:space="0" w:color="auto"/>
        <w:right w:val="none" w:sz="0" w:space="0" w:color="auto"/>
      </w:divBdr>
    </w:div>
    <w:div w:id="1401831470">
      <w:bodyDiv w:val="1"/>
      <w:marLeft w:val="0"/>
      <w:marRight w:val="0"/>
      <w:marTop w:val="0"/>
      <w:marBottom w:val="0"/>
      <w:divBdr>
        <w:top w:val="none" w:sz="0" w:space="0" w:color="auto"/>
        <w:left w:val="none" w:sz="0" w:space="0" w:color="auto"/>
        <w:bottom w:val="none" w:sz="0" w:space="0" w:color="auto"/>
        <w:right w:val="none" w:sz="0" w:space="0" w:color="auto"/>
      </w:divBdr>
    </w:div>
    <w:div w:id="1452675179">
      <w:bodyDiv w:val="1"/>
      <w:marLeft w:val="0"/>
      <w:marRight w:val="0"/>
      <w:marTop w:val="0"/>
      <w:marBottom w:val="0"/>
      <w:divBdr>
        <w:top w:val="none" w:sz="0" w:space="0" w:color="auto"/>
        <w:left w:val="none" w:sz="0" w:space="0" w:color="auto"/>
        <w:bottom w:val="none" w:sz="0" w:space="0" w:color="auto"/>
        <w:right w:val="none" w:sz="0" w:space="0" w:color="auto"/>
      </w:divBdr>
    </w:div>
    <w:div w:id="1471635844">
      <w:bodyDiv w:val="1"/>
      <w:marLeft w:val="0"/>
      <w:marRight w:val="0"/>
      <w:marTop w:val="0"/>
      <w:marBottom w:val="0"/>
      <w:divBdr>
        <w:top w:val="none" w:sz="0" w:space="0" w:color="auto"/>
        <w:left w:val="none" w:sz="0" w:space="0" w:color="auto"/>
        <w:bottom w:val="none" w:sz="0" w:space="0" w:color="auto"/>
        <w:right w:val="none" w:sz="0" w:space="0" w:color="auto"/>
      </w:divBdr>
    </w:div>
    <w:div w:id="1472987545">
      <w:bodyDiv w:val="1"/>
      <w:marLeft w:val="0"/>
      <w:marRight w:val="0"/>
      <w:marTop w:val="0"/>
      <w:marBottom w:val="0"/>
      <w:divBdr>
        <w:top w:val="none" w:sz="0" w:space="0" w:color="auto"/>
        <w:left w:val="none" w:sz="0" w:space="0" w:color="auto"/>
        <w:bottom w:val="none" w:sz="0" w:space="0" w:color="auto"/>
        <w:right w:val="none" w:sz="0" w:space="0" w:color="auto"/>
      </w:divBdr>
    </w:div>
    <w:div w:id="1488521115">
      <w:bodyDiv w:val="1"/>
      <w:marLeft w:val="0"/>
      <w:marRight w:val="0"/>
      <w:marTop w:val="0"/>
      <w:marBottom w:val="0"/>
      <w:divBdr>
        <w:top w:val="none" w:sz="0" w:space="0" w:color="auto"/>
        <w:left w:val="none" w:sz="0" w:space="0" w:color="auto"/>
        <w:bottom w:val="none" w:sz="0" w:space="0" w:color="auto"/>
        <w:right w:val="none" w:sz="0" w:space="0" w:color="auto"/>
      </w:divBdr>
      <w:divsChild>
        <w:div w:id="2114787736">
          <w:marLeft w:val="0"/>
          <w:marRight w:val="0"/>
          <w:marTop w:val="0"/>
          <w:marBottom w:val="0"/>
          <w:divBdr>
            <w:top w:val="none" w:sz="0" w:space="0" w:color="auto"/>
            <w:left w:val="none" w:sz="0" w:space="0" w:color="auto"/>
            <w:bottom w:val="none" w:sz="0" w:space="0" w:color="auto"/>
            <w:right w:val="none" w:sz="0" w:space="0" w:color="auto"/>
          </w:divBdr>
          <w:divsChild>
            <w:div w:id="516390304">
              <w:marLeft w:val="0"/>
              <w:marRight w:val="0"/>
              <w:marTop w:val="0"/>
              <w:marBottom w:val="0"/>
              <w:divBdr>
                <w:top w:val="none" w:sz="0" w:space="0" w:color="auto"/>
                <w:left w:val="none" w:sz="0" w:space="0" w:color="auto"/>
                <w:bottom w:val="none" w:sz="0" w:space="0" w:color="auto"/>
                <w:right w:val="none" w:sz="0" w:space="0" w:color="auto"/>
              </w:divBdr>
              <w:divsChild>
                <w:div w:id="149370484">
                  <w:marLeft w:val="0"/>
                  <w:marRight w:val="0"/>
                  <w:marTop w:val="0"/>
                  <w:marBottom w:val="0"/>
                  <w:divBdr>
                    <w:top w:val="none" w:sz="0" w:space="0" w:color="auto"/>
                    <w:left w:val="none" w:sz="0" w:space="0" w:color="auto"/>
                    <w:bottom w:val="none" w:sz="0" w:space="0" w:color="auto"/>
                    <w:right w:val="none" w:sz="0" w:space="0" w:color="auto"/>
                  </w:divBdr>
                  <w:divsChild>
                    <w:div w:id="20851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10907">
      <w:bodyDiv w:val="1"/>
      <w:marLeft w:val="0"/>
      <w:marRight w:val="0"/>
      <w:marTop w:val="0"/>
      <w:marBottom w:val="0"/>
      <w:divBdr>
        <w:top w:val="none" w:sz="0" w:space="0" w:color="auto"/>
        <w:left w:val="none" w:sz="0" w:space="0" w:color="auto"/>
        <w:bottom w:val="none" w:sz="0" w:space="0" w:color="auto"/>
        <w:right w:val="none" w:sz="0" w:space="0" w:color="auto"/>
      </w:divBdr>
    </w:div>
    <w:div w:id="15247830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366">
          <w:marLeft w:val="0"/>
          <w:marRight w:val="0"/>
          <w:marTop w:val="0"/>
          <w:marBottom w:val="0"/>
          <w:divBdr>
            <w:top w:val="none" w:sz="0" w:space="0" w:color="auto"/>
            <w:left w:val="none" w:sz="0" w:space="0" w:color="auto"/>
            <w:bottom w:val="none" w:sz="0" w:space="0" w:color="auto"/>
            <w:right w:val="none" w:sz="0" w:space="0" w:color="auto"/>
          </w:divBdr>
          <w:divsChild>
            <w:div w:id="857934881">
              <w:marLeft w:val="0"/>
              <w:marRight w:val="0"/>
              <w:marTop w:val="0"/>
              <w:marBottom w:val="0"/>
              <w:divBdr>
                <w:top w:val="none" w:sz="0" w:space="0" w:color="auto"/>
                <w:left w:val="none" w:sz="0" w:space="0" w:color="auto"/>
                <w:bottom w:val="none" w:sz="0" w:space="0" w:color="auto"/>
                <w:right w:val="none" w:sz="0" w:space="0" w:color="auto"/>
              </w:divBdr>
              <w:divsChild>
                <w:div w:id="394594179">
                  <w:marLeft w:val="0"/>
                  <w:marRight w:val="0"/>
                  <w:marTop w:val="0"/>
                  <w:marBottom w:val="0"/>
                  <w:divBdr>
                    <w:top w:val="none" w:sz="0" w:space="0" w:color="auto"/>
                    <w:left w:val="none" w:sz="0" w:space="0" w:color="auto"/>
                    <w:bottom w:val="none" w:sz="0" w:space="0" w:color="auto"/>
                    <w:right w:val="none" w:sz="0" w:space="0" w:color="auto"/>
                  </w:divBdr>
                  <w:divsChild>
                    <w:div w:id="582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80609">
      <w:bodyDiv w:val="1"/>
      <w:marLeft w:val="0"/>
      <w:marRight w:val="0"/>
      <w:marTop w:val="0"/>
      <w:marBottom w:val="0"/>
      <w:divBdr>
        <w:top w:val="none" w:sz="0" w:space="0" w:color="auto"/>
        <w:left w:val="none" w:sz="0" w:space="0" w:color="auto"/>
        <w:bottom w:val="none" w:sz="0" w:space="0" w:color="auto"/>
        <w:right w:val="none" w:sz="0" w:space="0" w:color="auto"/>
      </w:divBdr>
      <w:divsChild>
        <w:div w:id="1047988884">
          <w:marLeft w:val="0"/>
          <w:marRight w:val="0"/>
          <w:marTop w:val="0"/>
          <w:marBottom w:val="0"/>
          <w:divBdr>
            <w:top w:val="none" w:sz="0" w:space="0" w:color="auto"/>
            <w:left w:val="none" w:sz="0" w:space="0" w:color="auto"/>
            <w:bottom w:val="none" w:sz="0" w:space="0" w:color="auto"/>
            <w:right w:val="none" w:sz="0" w:space="0" w:color="auto"/>
          </w:divBdr>
          <w:divsChild>
            <w:div w:id="1891184581">
              <w:marLeft w:val="0"/>
              <w:marRight w:val="0"/>
              <w:marTop w:val="0"/>
              <w:marBottom w:val="0"/>
              <w:divBdr>
                <w:top w:val="none" w:sz="0" w:space="0" w:color="auto"/>
                <w:left w:val="none" w:sz="0" w:space="0" w:color="auto"/>
                <w:bottom w:val="none" w:sz="0" w:space="0" w:color="auto"/>
                <w:right w:val="none" w:sz="0" w:space="0" w:color="auto"/>
              </w:divBdr>
              <w:divsChild>
                <w:div w:id="309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3797">
      <w:bodyDiv w:val="1"/>
      <w:marLeft w:val="0"/>
      <w:marRight w:val="0"/>
      <w:marTop w:val="0"/>
      <w:marBottom w:val="0"/>
      <w:divBdr>
        <w:top w:val="none" w:sz="0" w:space="0" w:color="auto"/>
        <w:left w:val="none" w:sz="0" w:space="0" w:color="auto"/>
        <w:bottom w:val="none" w:sz="0" w:space="0" w:color="auto"/>
        <w:right w:val="none" w:sz="0" w:space="0" w:color="auto"/>
      </w:divBdr>
      <w:divsChild>
        <w:div w:id="1849366398">
          <w:marLeft w:val="0"/>
          <w:marRight w:val="0"/>
          <w:marTop w:val="0"/>
          <w:marBottom w:val="0"/>
          <w:divBdr>
            <w:top w:val="none" w:sz="0" w:space="0" w:color="auto"/>
            <w:left w:val="none" w:sz="0" w:space="0" w:color="auto"/>
            <w:bottom w:val="none" w:sz="0" w:space="0" w:color="auto"/>
            <w:right w:val="none" w:sz="0" w:space="0" w:color="auto"/>
          </w:divBdr>
          <w:divsChild>
            <w:div w:id="1293438501">
              <w:marLeft w:val="0"/>
              <w:marRight w:val="0"/>
              <w:marTop w:val="0"/>
              <w:marBottom w:val="0"/>
              <w:divBdr>
                <w:top w:val="none" w:sz="0" w:space="0" w:color="auto"/>
                <w:left w:val="none" w:sz="0" w:space="0" w:color="auto"/>
                <w:bottom w:val="none" w:sz="0" w:space="0" w:color="auto"/>
                <w:right w:val="none" w:sz="0" w:space="0" w:color="auto"/>
              </w:divBdr>
              <w:divsChild>
                <w:div w:id="541021559">
                  <w:marLeft w:val="0"/>
                  <w:marRight w:val="0"/>
                  <w:marTop w:val="0"/>
                  <w:marBottom w:val="0"/>
                  <w:divBdr>
                    <w:top w:val="none" w:sz="0" w:space="0" w:color="auto"/>
                    <w:left w:val="none" w:sz="0" w:space="0" w:color="auto"/>
                    <w:bottom w:val="none" w:sz="0" w:space="0" w:color="auto"/>
                    <w:right w:val="none" w:sz="0" w:space="0" w:color="auto"/>
                  </w:divBdr>
                  <w:divsChild>
                    <w:div w:id="18696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7947">
      <w:bodyDiv w:val="1"/>
      <w:marLeft w:val="0"/>
      <w:marRight w:val="0"/>
      <w:marTop w:val="0"/>
      <w:marBottom w:val="0"/>
      <w:divBdr>
        <w:top w:val="none" w:sz="0" w:space="0" w:color="auto"/>
        <w:left w:val="none" w:sz="0" w:space="0" w:color="auto"/>
        <w:bottom w:val="none" w:sz="0" w:space="0" w:color="auto"/>
        <w:right w:val="none" w:sz="0" w:space="0" w:color="auto"/>
      </w:divBdr>
    </w:div>
    <w:div w:id="1557010248">
      <w:bodyDiv w:val="1"/>
      <w:marLeft w:val="0"/>
      <w:marRight w:val="0"/>
      <w:marTop w:val="0"/>
      <w:marBottom w:val="0"/>
      <w:divBdr>
        <w:top w:val="none" w:sz="0" w:space="0" w:color="auto"/>
        <w:left w:val="none" w:sz="0" w:space="0" w:color="auto"/>
        <w:bottom w:val="none" w:sz="0" w:space="0" w:color="auto"/>
        <w:right w:val="none" w:sz="0" w:space="0" w:color="auto"/>
      </w:divBdr>
    </w:div>
    <w:div w:id="1558929351">
      <w:bodyDiv w:val="1"/>
      <w:marLeft w:val="0"/>
      <w:marRight w:val="0"/>
      <w:marTop w:val="0"/>
      <w:marBottom w:val="0"/>
      <w:divBdr>
        <w:top w:val="none" w:sz="0" w:space="0" w:color="auto"/>
        <w:left w:val="none" w:sz="0" w:space="0" w:color="auto"/>
        <w:bottom w:val="none" w:sz="0" w:space="0" w:color="auto"/>
        <w:right w:val="none" w:sz="0" w:space="0" w:color="auto"/>
      </w:divBdr>
    </w:div>
    <w:div w:id="1571502322">
      <w:bodyDiv w:val="1"/>
      <w:marLeft w:val="0"/>
      <w:marRight w:val="0"/>
      <w:marTop w:val="0"/>
      <w:marBottom w:val="0"/>
      <w:divBdr>
        <w:top w:val="none" w:sz="0" w:space="0" w:color="auto"/>
        <w:left w:val="none" w:sz="0" w:space="0" w:color="auto"/>
        <w:bottom w:val="none" w:sz="0" w:space="0" w:color="auto"/>
        <w:right w:val="none" w:sz="0" w:space="0" w:color="auto"/>
      </w:divBdr>
    </w:div>
    <w:div w:id="1584140555">
      <w:bodyDiv w:val="1"/>
      <w:marLeft w:val="0"/>
      <w:marRight w:val="0"/>
      <w:marTop w:val="0"/>
      <w:marBottom w:val="0"/>
      <w:divBdr>
        <w:top w:val="none" w:sz="0" w:space="0" w:color="auto"/>
        <w:left w:val="none" w:sz="0" w:space="0" w:color="auto"/>
        <w:bottom w:val="none" w:sz="0" w:space="0" w:color="auto"/>
        <w:right w:val="none" w:sz="0" w:space="0" w:color="auto"/>
      </w:divBdr>
    </w:div>
    <w:div w:id="1651591446">
      <w:bodyDiv w:val="1"/>
      <w:marLeft w:val="0"/>
      <w:marRight w:val="0"/>
      <w:marTop w:val="0"/>
      <w:marBottom w:val="0"/>
      <w:divBdr>
        <w:top w:val="none" w:sz="0" w:space="0" w:color="auto"/>
        <w:left w:val="none" w:sz="0" w:space="0" w:color="auto"/>
        <w:bottom w:val="none" w:sz="0" w:space="0" w:color="auto"/>
        <w:right w:val="none" w:sz="0" w:space="0" w:color="auto"/>
      </w:divBdr>
    </w:div>
    <w:div w:id="1656495279">
      <w:bodyDiv w:val="1"/>
      <w:marLeft w:val="0"/>
      <w:marRight w:val="0"/>
      <w:marTop w:val="0"/>
      <w:marBottom w:val="0"/>
      <w:divBdr>
        <w:top w:val="none" w:sz="0" w:space="0" w:color="auto"/>
        <w:left w:val="none" w:sz="0" w:space="0" w:color="auto"/>
        <w:bottom w:val="none" w:sz="0" w:space="0" w:color="auto"/>
        <w:right w:val="none" w:sz="0" w:space="0" w:color="auto"/>
      </w:divBdr>
    </w:div>
    <w:div w:id="1656646348">
      <w:bodyDiv w:val="1"/>
      <w:marLeft w:val="0"/>
      <w:marRight w:val="0"/>
      <w:marTop w:val="0"/>
      <w:marBottom w:val="0"/>
      <w:divBdr>
        <w:top w:val="none" w:sz="0" w:space="0" w:color="auto"/>
        <w:left w:val="none" w:sz="0" w:space="0" w:color="auto"/>
        <w:bottom w:val="none" w:sz="0" w:space="0" w:color="auto"/>
        <w:right w:val="none" w:sz="0" w:space="0" w:color="auto"/>
      </w:divBdr>
    </w:div>
    <w:div w:id="1668556445">
      <w:bodyDiv w:val="1"/>
      <w:marLeft w:val="0"/>
      <w:marRight w:val="0"/>
      <w:marTop w:val="0"/>
      <w:marBottom w:val="0"/>
      <w:divBdr>
        <w:top w:val="none" w:sz="0" w:space="0" w:color="auto"/>
        <w:left w:val="none" w:sz="0" w:space="0" w:color="auto"/>
        <w:bottom w:val="none" w:sz="0" w:space="0" w:color="auto"/>
        <w:right w:val="none" w:sz="0" w:space="0" w:color="auto"/>
      </w:divBdr>
    </w:div>
    <w:div w:id="1682969022">
      <w:bodyDiv w:val="1"/>
      <w:marLeft w:val="0"/>
      <w:marRight w:val="0"/>
      <w:marTop w:val="0"/>
      <w:marBottom w:val="0"/>
      <w:divBdr>
        <w:top w:val="none" w:sz="0" w:space="0" w:color="auto"/>
        <w:left w:val="none" w:sz="0" w:space="0" w:color="auto"/>
        <w:bottom w:val="none" w:sz="0" w:space="0" w:color="auto"/>
        <w:right w:val="none" w:sz="0" w:space="0" w:color="auto"/>
      </w:divBdr>
    </w:div>
    <w:div w:id="1687247347">
      <w:bodyDiv w:val="1"/>
      <w:marLeft w:val="0"/>
      <w:marRight w:val="0"/>
      <w:marTop w:val="0"/>
      <w:marBottom w:val="0"/>
      <w:divBdr>
        <w:top w:val="none" w:sz="0" w:space="0" w:color="auto"/>
        <w:left w:val="none" w:sz="0" w:space="0" w:color="auto"/>
        <w:bottom w:val="none" w:sz="0" w:space="0" w:color="auto"/>
        <w:right w:val="none" w:sz="0" w:space="0" w:color="auto"/>
      </w:divBdr>
    </w:div>
    <w:div w:id="1770395636">
      <w:bodyDiv w:val="1"/>
      <w:marLeft w:val="0"/>
      <w:marRight w:val="0"/>
      <w:marTop w:val="0"/>
      <w:marBottom w:val="0"/>
      <w:divBdr>
        <w:top w:val="none" w:sz="0" w:space="0" w:color="auto"/>
        <w:left w:val="none" w:sz="0" w:space="0" w:color="auto"/>
        <w:bottom w:val="none" w:sz="0" w:space="0" w:color="auto"/>
        <w:right w:val="none" w:sz="0" w:space="0" w:color="auto"/>
      </w:divBdr>
      <w:divsChild>
        <w:div w:id="185288895">
          <w:marLeft w:val="0"/>
          <w:marRight w:val="0"/>
          <w:marTop w:val="0"/>
          <w:marBottom w:val="0"/>
          <w:divBdr>
            <w:top w:val="none" w:sz="0" w:space="0" w:color="auto"/>
            <w:left w:val="none" w:sz="0" w:space="0" w:color="auto"/>
            <w:bottom w:val="none" w:sz="0" w:space="0" w:color="auto"/>
            <w:right w:val="none" w:sz="0" w:space="0" w:color="auto"/>
          </w:divBdr>
          <w:divsChild>
            <w:div w:id="395011183">
              <w:marLeft w:val="0"/>
              <w:marRight w:val="0"/>
              <w:marTop w:val="0"/>
              <w:marBottom w:val="0"/>
              <w:divBdr>
                <w:top w:val="none" w:sz="0" w:space="0" w:color="auto"/>
                <w:left w:val="none" w:sz="0" w:space="0" w:color="auto"/>
                <w:bottom w:val="none" w:sz="0" w:space="0" w:color="auto"/>
                <w:right w:val="none" w:sz="0" w:space="0" w:color="auto"/>
              </w:divBdr>
              <w:divsChild>
                <w:div w:id="931626854">
                  <w:marLeft w:val="0"/>
                  <w:marRight w:val="0"/>
                  <w:marTop w:val="0"/>
                  <w:marBottom w:val="0"/>
                  <w:divBdr>
                    <w:top w:val="none" w:sz="0" w:space="0" w:color="auto"/>
                    <w:left w:val="none" w:sz="0" w:space="0" w:color="auto"/>
                    <w:bottom w:val="none" w:sz="0" w:space="0" w:color="auto"/>
                    <w:right w:val="none" w:sz="0" w:space="0" w:color="auto"/>
                  </w:divBdr>
                  <w:divsChild>
                    <w:div w:id="16530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47108">
      <w:bodyDiv w:val="1"/>
      <w:marLeft w:val="0"/>
      <w:marRight w:val="0"/>
      <w:marTop w:val="0"/>
      <w:marBottom w:val="0"/>
      <w:divBdr>
        <w:top w:val="none" w:sz="0" w:space="0" w:color="auto"/>
        <w:left w:val="none" w:sz="0" w:space="0" w:color="auto"/>
        <w:bottom w:val="none" w:sz="0" w:space="0" w:color="auto"/>
        <w:right w:val="none" w:sz="0" w:space="0" w:color="auto"/>
      </w:divBdr>
      <w:divsChild>
        <w:div w:id="152795948">
          <w:marLeft w:val="0"/>
          <w:marRight w:val="0"/>
          <w:marTop w:val="0"/>
          <w:marBottom w:val="0"/>
          <w:divBdr>
            <w:top w:val="none" w:sz="0" w:space="0" w:color="auto"/>
            <w:left w:val="none" w:sz="0" w:space="0" w:color="auto"/>
            <w:bottom w:val="none" w:sz="0" w:space="0" w:color="auto"/>
            <w:right w:val="none" w:sz="0" w:space="0" w:color="auto"/>
          </w:divBdr>
          <w:divsChild>
            <w:div w:id="1918976852">
              <w:marLeft w:val="0"/>
              <w:marRight w:val="0"/>
              <w:marTop w:val="0"/>
              <w:marBottom w:val="0"/>
              <w:divBdr>
                <w:top w:val="none" w:sz="0" w:space="0" w:color="auto"/>
                <w:left w:val="none" w:sz="0" w:space="0" w:color="auto"/>
                <w:bottom w:val="none" w:sz="0" w:space="0" w:color="auto"/>
                <w:right w:val="none" w:sz="0" w:space="0" w:color="auto"/>
              </w:divBdr>
              <w:divsChild>
                <w:div w:id="14981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33797">
      <w:bodyDiv w:val="1"/>
      <w:marLeft w:val="0"/>
      <w:marRight w:val="0"/>
      <w:marTop w:val="0"/>
      <w:marBottom w:val="0"/>
      <w:divBdr>
        <w:top w:val="none" w:sz="0" w:space="0" w:color="auto"/>
        <w:left w:val="none" w:sz="0" w:space="0" w:color="auto"/>
        <w:bottom w:val="none" w:sz="0" w:space="0" w:color="auto"/>
        <w:right w:val="none" w:sz="0" w:space="0" w:color="auto"/>
      </w:divBdr>
    </w:div>
    <w:div w:id="1816414587">
      <w:bodyDiv w:val="1"/>
      <w:marLeft w:val="0"/>
      <w:marRight w:val="0"/>
      <w:marTop w:val="0"/>
      <w:marBottom w:val="0"/>
      <w:divBdr>
        <w:top w:val="none" w:sz="0" w:space="0" w:color="auto"/>
        <w:left w:val="none" w:sz="0" w:space="0" w:color="auto"/>
        <w:bottom w:val="none" w:sz="0" w:space="0" w:color="auto"/>
        <w:right w:val="none" w:sz="0" w:space="0" w:color="auto"/>
      </w:divBdr>
      <w:divsChild>
        <w:div w:id="151215026">
          <w:marLeft w:val="0"/>
          <w:marRight w:val="0"/>
          <w:marTop w:val="0"/>
          <w:marBottom w:val="0"/>
          <w:divBdr>
            <w:top w:val="none" w:sz="0" w:space="0" w:color="auto"/>
            <w:left w:val="none" w:sz="0" w:space="0" w:color="auto"/>
            <w:bottom w:val="none" w:sz="0" w:space="0" w:color="auto"/>
            <w:right w:val="none" w:sz="0" w:space="0" w:color="auto"/>
          </w:divBdr>
          <w:divsChild>
            <w:div w:id="521823503">
              <w:marLeft w:val="0"/>
              <w:marRight w:val="0"/>
              <w:marTop w:val="0"/>
              <w:marBottom w:val="0"/>
              <w:divBdr>
                <w:top w:val="none" w:sz="0" w:space="0" w:color="auto"/>
                <w:left w:val="none" w:sz="0" w:space="0" w:color="auto"/>
                <w:bottom w:val="none" w:sz="0" w:space="0" w:color="auto"/>
                <w:right w:val="none" w:sz="0" w:space="0" w:color="auto"/>
              </w:divBdr>
              <w:divsChild>
                <w:div w:id="1405839905">
                  <w:marLeft w:val="0"/>
                  <w:marRight w:val="0"/>
                  <w:marTop w:val="0"/>
                  <w:marBottom w:val="0"/>
                  <w:divBdr>
                    <w:top w:val="none" w:sz="0" w:space="0" w:color="auto"/>
                    <w:left w:val="none" w:sz="0" w:space="0" w:color="auto"/>
                    <w:bottom w:val="none" w:sz="0" w:space="0" w:color="auto"/>
                    <w:right w:val="none" w:sz="0" w:space="0" w:color="auto"/>
                  </w:divBdr>
                  <w:divsChild>
                    <w:div w:id="3344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2276">
      <w:bodyDiv w:val="1"/>
      <w:marLeft w:val="0"/>
      <w:marRight w:val="0"/>
      <w:marTop w:val="0"/>
      <w:marBottom w:val="0"/>
      <w:divBdr>
        <w:top w:val="none" w:sz="0" w:space="0" w:color="auto"/>
        <w:left w:val="none" w:sz="0" w:space="0" w:color="auto"/>
        <w:bottom w:val="none" w:sz="0" w:space="0" w:color="auto"/>
        <w:right w:val="none" w:sz="0" w:space="0" w:color="auto"/>
      </w:divBdr>
      <w:divsChild>
        <w:div w:id="519976029">
          <w:marLeft w:val="0"/>
          <w:marRight w:val="0"/>
          <w:marTop w:val="0"/>
          <w:marBottom w:val="0"/>
          <w:divBdr>
            <w:top w:val="none" w:sz="0" w:space="0" w:color="auto"/>
            <w:left w:val="none" w:sz="0" w:space="0" w:color="auto"/>
            <w:bottom w:val="none" w:sz="0" w:space="0" w:color="auto"/>
            <w:right w:val="none" w:sz="0" w:space="0" w:color="auto"/>
          </w:divBdr>
          <w:divsChild>
            <w:div w:id="1247151732">
              <w:marLeft w:val="0"/>
              <w:marRight w:val="0"/>
              <w:marTop w:val="0"/>
              <w:marBottom w:val="0"/>
              <w:divBdr>
                <w:top w:val="none" w:sz="0" w:space="0" w:color="auto"/>
                <w:left w:val="none" w:sz="0" w:space="0" w:color="auto"/>
                <w:bottom w:val="none" w:sz="0" w:space="0" w:color="auto"/>
                <w:right w:val="none" w:sz="0" w:space="0" w:color="auto"/>
              </w:divBdr>
              <w:divsChild>
                <w:div w:id="9235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0285">
      <w:bodyDiv w:val="1"/>
      <w:marLeft w:val="0"/>
      <w:marRight w:val="0"/>
      <w:marTop w:val="0"/>
      <w:marBottom w:val="0"/>
      <w:divBdr>
        <w:top w:val="none" w:sz="0" w:space="0" w:color="auto"/>
        <w:left w:val="none" w:sz="0" w:space="0" w:color="auto"/>
        <w:bottom w:val="none" w:sz="0" w:space="0" w:color="auto"/>
        <w:right w:val="none" w:sz="0" w:space="0" w:color="auto"/>
      </w:divBdr>
      <w:divsChild>
        <w:div w:id="793602505">
          <w:marLeft w:val="0"/>
          <w:marRight w:val="0"/>
          <w:marTop w:val="0"/>
          <w:marBottom w:val="0"/>
          <w:divBdr>
            <w:top w:val="none" w:sz="0" w:space="0" w:color="auto"/>
            <w:left w:val="none" w:sz="0" w:space="0" w:color="auto"/>
            <w:bottom w:val="none" w:sz="0" w:space="0" w:color="auto"/>
            <w:right w:val="none" w:sz="0" w:space="0" w:color="auto"/>
          </w:divBdr>
          <w:divsChild>
            <w:div w:id="1248614611">
              <w:marLeft w:val="0"/>
              <w:marRight w:val="0"/>
              <w:marTop w:val="0"/>
              <w:marBottom w:val="0"/>
              <w:divBdr>
                <w:top w:val="none" w:sz="0" w:space="0" w:color="auto"/>
                <w:left w:val="none" w:sz="0" w:space="0" w:color="auto"/>
                <w:bottom w:val="none" w:sz="0" w:space="0" w:color="auto"/>
                <w:right w:val="none" w:sz="0" w:space="0" w:color="auto"/>
              </w:divBdr>
              <w:divsChild>
                <w:div w:id="1205754601">
                  <w:marLeft w:val="0"/>
                  <w:marRight w:val="0"/>
                  <w:marTop w:val="0"/>
                  <w:marBottom w:val="0"/>
                  <w:divBdr>
                    <w:top w:val="none" w:sz="0" w:space="0" w:color="auto"/>
                    <w:left w:val="none" w:sz="0" w:space="0" w:color="auto"/>
                    <w:bottom w:val="none" w:sz="0" w:space="0" w:color="auto"/>
                    <w:right w:val="none" w:sz="0" w:space="0" w:color="auto"/>
                  </w:divBdr>
                  <w:divsChild>
                    <w:div w:id="18533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49629">
      <w:bodyDiv w:val="1"/>
      <w:marLeft w:val="0"/>
      <w:marRight w:val="0"/>
      <w:marTop w:val="0"/>
      <w:marBottom w:val="0"/>
      <w:divBdr>
        <w:top w:val="none" w:sz="0" w:space="0" w:color="auto"/>
        <w:left w:val="none" w:sz="0" w:space="0" w:color="auto"/>
        <w:bottom w:val="none" w:sz="0" w:space="0" w:color="auto"/>
        <w:right w:val="none" w:sz="0" w:space="0" w:color="auto"/>
      </w:divBdr>
    </w:div>
    <w:div w:id="1956670627">
      <w:bodyDiv w:val="1"/>
      <w:marLeft w:val="0"/>
      <w:marRight w:val="0"/>
      <w:marTop w:val="0"/>
      <w:marBottom w:val="0"/>
      <w:divBdr>
        <w:top w:val="none" w:sz="0" w:space="0" w:color="auto"/>
        <w:left w:val="none" w:sz="0" w:space="0" w:color="auto"/>
        <w:bottom w:val="none" w:sz="0" w:space="0" w:color="auto"/>
        <w:right w:val="none" w:sz="0" w:space="0" w:color="auto"/>
      </w:divBdr>
    </w:div>
    <w:div w:id="1987733041">
      <w:bodyDiv w:val="1"/>
      <w:marLeft w:val="0"/>
      <w:marRight w:val="0"/>
      <w:marTop w:val="0"/>
      <w:marBottom w:val="0"/>
      <w:divBdr>
        <w:top w:val="none" w:sz="0" w:space="0" w:color="auto"/>
        <w:left w:val="none" w:sz="0" w:space="0" w:color="auto"/>
        <w:bottom w:val="none" w:sz="0" w:space="0" w:color="auto"/>
        <w:right w:val="none" w:sz="0" w:space="0" w:color="auto"/>
      </w:divBdr>
    </w:div>
    <w:div w:id="2035228402">
      <w:bodyDiv w:val="1"/>
      <w:marLeft w:val="0"/>
      <w:marRight w:val="0"/>
      <w:marTop w:val="0"/>
      <w:marBottom w:val="0"/>
      <w:divBdr>
        <w:top w:val="none" w:sz="0" w:space="0" w:color="auto"/>
        <w:left w:val="none" w:sz="0" w:space="0" w:color="auto"/>
        <w:bottom w:val="none" w:sz="0" w:space="0" w:color="auto"/>
        <w:right w:val="none" w:sz="0" w:space="0" w:color="auto"/>
      </w:divBdr>
    </w:div>
    <w:div w:id="2053311161">
      <w:bodyDiv w:val="1"/>
      <w:marLeft w:val="0"/>
      <w:marRight w:val="0"/>
      <w:marTop w:val="0"/>
      <w:marBottom w:val="0"/>
      <w:divBdr>
        <w:top w:val="none" w:sz="0" w:space="0" w:color="auto"/>
        <w:left w:val="none" w:sz="0" w:space="0" w:color="auto"/>
        <w:bottom w:val="none" w:sz="0" w:space="0" w:color="auto"/>
        <w:right w:val="none" w:sz="0" w:space="0" w:color="auto"/>
      </w:divBdr>
    </w:div>
    <w:div w:id="2073887997">
      <w:bodyDiv w:val="1"/>
      <w:marLeft w:val="0"/>
      <w:marRight w:val="0"/>
      <w:marTop w:val="0"/>
      <w:marBottom w:val="0"/>
      <w:divBdr>
        <w:top w:val="none" w:sz="0" w:space="0" w:color="auto"/>
        <w:left w:val="none" w:sz="0" w:space="0" w:color="auto"/>
        <w:bottom w:val="none" w:sz="0" w:space="0" w:color="auto"/>
        <w:right w:val="none" w:sz="0" w:space="0" w:color="auto"/>
      </w:divBdr>
    </w:div>
    <w:div w:id="2101638138">
      <w:bodyDiv w:val="1"/>
      <w:marLeft w:val="0"/>
      <w:marRight w:val="0"/>
      <w:marTop w:val="0"/>
      <w:marBottom w:val="0"/>
      <w:divBdr>
        <w:top w:val="none" w:sz="0" w:space="0" w:color="auto"/>
        <w:left w:val="none" w:sz="0" w:space="0" w:color="auto"/>
        <w:bottom w:val="none" w:sz="0" w:space="0" w:color="auto"/>
        <w:right w:val="none" w:sz="0" w:space="0" w:color="auto"/>
      </w:divBdr>
    </w:div>
    <w:div w:id="2113936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putaciondepalencia.es/provincia/escuela-alcaldes/guia-servicios-diputacion" TargetMode="External"/><Relationship Id="rId13" Type="http://schemas.openxmlformats.org/officeDocument/2006/relationships/hyperlink" Target="https://noticias.juridicas.com/base_datos/Admin/l7-1985.t2.html" TargetMode="External"/><Relationship Id="rId18" Type="http://schemas.openxmlformats.org/officeDocument/2006/relationships/hyperlink" Target="https://noticias.juridicas.com/base_datos/Admin/l7-1985.t11.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oe.es/buscar/doc.php?id=BOE-A-2024-665" TargetMode="External"/><Relationship Id="rId17" Type="http://schemas.openxmlformats.org/officeDocument/2006/relationships/hyperlink" Target="https://noticias.juridicas.com/base_datos/Admin/l7-1985.t11.html" TargetMode="External"/><Relationship Id="rId2" Type="http://schemas.openxmlformats.org/officeDocument/2006/relationships/numbering" Target="numbering.xml"/><Relationship Id="rId16" Type="http://schemas.openxmlformats.org/officeDocument/2006/relationships/hyperlink" Target="https://noticias.juridicas.com/base_datos/Admin/l7-1985.t2.htm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buscar/doc.php?id=BOE-A-2023-224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ticias.juridicas.com/base_datos/Admin/l7-1985.t2.html" TargetMode="External"/><Relationship Id="rId23" Type="http://schemas.openxmlformats.org/officeDocument/2006/relationships/fontTable" Target="fontTable.xml"/><Relationship Id="rId10" Type="http://schemas.openxmlformats.org/officeDocument/2006/relationships/hyperlink" Target="https://www.boe.es/boe/dias/2024/02/07/pdfs/BOE-A-2024-2251.pdf" TargetMode="External"/><Relationship Id="rId19" Type="http://schemas.openxmlformats.org/officeDocument/2006/relationships/hyperlink" Target="https://www.boe.es/diario_boe/txt.php?id=BOE-A-2024-2248" TargetMode="External"/><Relationship Id="rId4" Type="http://schemas.openxmlformats.org/officeDocument/2006/relationships/settings" Target="settings.xml"/><Relationship Id="rId9" Type="http://schemas.openxmlformats.org/officeDocument/2006/relationships/hyperlink" Target="https://www.boe.es/boe/dias/2024/01/30/pdfs/BOE-A-2024-1691.pdf" TargetMode="External"/><Relationship Id="rId14" Type="http://schemas.openxmlformats.org/officeDocument/2006/relationships/hyperlink" Target="https://noticias.juridicas.com/base_datos/Admin/l7-1985.t2.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5ABE-ABF3-4A21-BE1F-FAEF5457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3750</Words>
  <Characters>20626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mm</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 Moreno</dc:creator>
  <cp:lastModifiedBy>Microsoft Office User</cp:lastModifiedBy>
  <cp:revision>6</cp:revision>
  <cp:lastPrinted>2024-02-06T13:20:00Z</cp:lastPrinted>
  <dcterms:created xsi:type="dcterms:W3CDTF">2024-02-06T13:52:00Z</dcterms:created>
  <dcterms:modified xsi:type="dcterms:W3CDTF">2024-02-07T19:26:00Z</dcterms:modified>
</cp:coreProperties>
</file>