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FB" w:rsidRPr="00544D8B" w:rsidRDefault="00582FFB" w:rsidP="00E45584">
      <w:pPr>
        <w:spacing w:after="0" w:line="240" w:lineRule="auto"/>
        <w:jc w:val="center"/>
        <w:rPr>
          <w:rFonts w:cs="Calibri"/>
          <w:b/>
        </w:rPr>
      </w:pPr>
      <w:r w:rsidRPr="00544D8B">
        <w:rPr>
          <w:rFonts w:cs="Calibri"/>
          <w:b/>
        </w:rPr>
        <w:t xml:space="preserve">NOTAS AL INFORME DE EVALUACION ESTABILIDAD PRESUPUESTARIA, Y LIMITE DEUDA </w:t>
      </w:r>
      <w:r w:rsidR="006D24B8" w:rsidRPr="00544D8B">
        <w:rPr>
          <w:rFonts w:cs="Calibri"/>
          <w:b/>
        </w:rPr>
        <w:t>EN FASE DE</w:t>
      </w:r>
      <w:r w:rsidR="00E45584">
        <w:rPr>
          <w:rFonts w:cs="Calibri"/>
          <w:b/>
        </w:rPr>
        <w:t xml:space="preserve"> </w:t>
      </w:r>
      <w:r w:rsidR="006D24B8" w:rsidRPr="00544D8B">
        <w:rPr>
          <w:rFonts w:cs="Calibri"/>
          <w:b/>
        </w:rPr>
        <w:t>APROBACION DEL PRESUPUESTO.</w:t>
      </w:r>
    </w:p>
    <w:p w:rsidR="00582FFB" w:rsidRPr="00544D8B" w:rsidRDefault="00582FFB" w:rsidP="00582FFB">
      <w:pPr>
        <w:spacing w:after="0" w:line="240" w:lineRule="auto"/>
        <w:rPr>
          <w:rFonts w:cs="Calibri"/>
        </w:rPr>
      </w:pPr>
    </w:p>
    <w:p w:rsidR="00F85A6E" w:rsidRPr="00544D8B" w:rsidRDefault="00F85A6E" w:rsidP="00F85A6E">
      <w:pPr>
        <w:pStyle w:val="Textoindependiente21"/>
        <w:ind w:left="720" w:right="113" w:firstLine="0"/>
        <w:rPr>
          <w:rFonts w:ascii="Calibri" w:hAnsi="Calibri" w:cs="Calibri"/>
          <w:sz w:val="22"/>
          <w:szCs w:val="22"/>
          <w:lang w:val="es-ES" w:eastAsia="en-US"/>
        </w:rPr>
      </w:pPr>
    </w:p>
    <w:p w:rsidR="00F85A6E" w:rsidRPr="00E365AD" w:rsidRDefault="00F85A6E" w:rsidP="00FA1779">
      <w:pPr>
        <w:pStyle w:val="Textoindependiente21"/>
        <w:spacing w:after="120"/>
        <w:ind w:right="113" w:firstLine="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E365AD">
        <w:rPr>
          <w:rFonts w:asciiTheme="minorHAnsi" w:hAnsiTheme="minorHAnsi" w:cstheme="minorHAnsi"/>
          <w:b/>
          <w:sz w:val="22"/>
          <w:szCs w:val="22"/>
          <w:lang w:val="es-ES"/>
        </w:rPr>
        <w:t xml:space="preserve">Las reglas fiscales (objetivo de estabilidad presupuestaria, deuda pública y regla de gasto) </w:t>
      </w:r>
      <w:r w:rsidR="00FA1779" w:rsidRPr="00E365AD">
        <w:rPr>
          <w:rFonts w:asciiTheme="minorHAnsi" w:hAnsiTheme="minorHAnsi" w:cstheme="minorHAnsi"/>
          <w:b/>
          <w:sz w:val="22"/>
          <w:szCs w:val="22"/>
          <w:lang w:val="es-ES"/>
        </w:rPr>
        <w:t>se reactivan para el ejercicio de 2024</w:t>
      </w:r>
      <w:r w:rsidRPr="00E365AD">
        <w:rPr>
          <w:rFonts w:asciiTheme="minorHAnsi" w:hAnsiTheme="minorHAnsi" w:cstheme="minorHAnsi"/>
          <w:b/>
          <w:sz w:val="22"/>
          <w:szCs w:val="22"/>
          <w:lang w:val="es-ES"/>
        </w:rPr>
        <w:t xml:space="preserve">. </w:t>
      </w:r>
    </w:p>
    <w:p w:rsidR="001C7527" w:rsidRPr="00E365AD" w:rsidRDefault="00FA1779" w:rsidP="00FA1779">
      <w:pPr>
        <w:pStyle w:val="Textoindependiente21"/>
        <w:spacing w:after="120"/>
        <w:ind w:right="113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Por tanto, </w:t>
      </w:r>
      <w:r w:rsidR="00F85A6E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debe evaluarse la estabilidad presupuestaria (capacidad/necesidad de financiación en términos de contabilidad </w:t>
      </w:r>
      <w:r w:rsidR="00BC3C91" w:rsidRPr="00E365AD">
        <w:rPr>
          <w:rFonts w:asciiTheme="minorHAnsi" w:hAnsiTheme="minorHAnsi" w:cstheme="minorHAnsi"/>
          <w:sz w:val="22"/>
          <w:szCs w:val="22"/>
          <w:lang w:val="es-ES"/>
        </w:rPr>
        <w:t>nacional)</w:t>
      </w:r>
      <w:r w:rsidR="00F85A6E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y el nivel de deuda.</w:t>
      </w:r>
    </w:p>
    <w:p w:rsidR="00153546" w:rsidRPr="00E365AD" w:rsidRDefault="00F85A6E" w:rsidP="00F85A6E">
      <w:pPr>
        <w:pStyle w:val="Textoindependiente21"/>
        <w:ind w:right="113" w:firstLine="0"/>
        <w:rPr>
          <w:rFonts w:asciiTheme="minorHAnsi" w:hAnsiTheme="minorHAnsi" w:cstheme="minorHAnsi"/>
          <w:sz w:val="22"/>
          <w:szCs w:val="22"/>
          <w:lang w:val="es-ES"/>
        </w:rPr>
      </w:pPr>
      <w:r w:rsidRPr="00E365AD">
        <w:rPr>
          <w:rFonts w:asciiTheme="minorHAnsi" w:hAnsiTheme="minorHAnsi" w:cstheme="minorHAnsi"/>
          <w:sz w:val="22"/>
          <w:szCs w:val="22"/>
          <w:lang w:val="es-ES"/>
        </w:rPr>
        <w:t>Respecto a la Regla de Gasto,</w:t>
      </w:r>
      <w:r w:rsidR="00BC3C91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153546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no </w:t>
      </w:r>
      <w:r w:rsidR="00544D8B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es </w:t>
      </w:r>
      <w:r w:rsidR="00081328" w:rsidRPr="00E365AD">
        <w:rPr>
          <w:rFonts w:asciiTheme="minorHAnsi" w:hAnsiTheme="minorHAnsi" w:cstheme="minorHAnsi"/>
          <w:sz w:val="22"/>
          <w:szCs w:val="22"/>
          <w:lang w:val="es-ES"/>
        </w:rPr>
        <w:t>preceptivo</w:t>
      </w:r>
      <w:r w:rsidR="00153546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el Informe de</w:t>
      </w:r>
      <w:r w:rsidR="00FA1779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la </w:t>
      </w:r>
      <w:r w:rsidR="00153546" w:rsidRPr="00E365AD">
        <w:rPr>
          <w:rFonts w:asciiTheme="minorHAnsi" w:hAnsiTheme="minorHAnsi" w:cstheme="minorHAnsi"/>
          <w:sz w:val="22"/>
          <w:szCs w:val="22"/>
          <w:lang w:val="es-ES"/>
        </w:rPr>
        <w:t>Interven</w:t>
      </w:r>
      <w:r w:rsidR="00FA1779" w:rsidRPr="00E365AD">
        <w:rPr>
          <w:rFonts w:asciiTheme="minorHAnsi" w:hAnsiTheme="minorHAnsi" w:cstheme="minorHAnsi"/>
          <w:sz w:val="22"/>
          <w:szCs w:val="22"/>
          <w:lang w:val="es-ES"/>
        </w:rPr>
        <w:t>ción Local</w:t>
      </w:r>
      <w:r w:rsidR="00153546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en fase de elaboración del </w:t>
      </w:r>
      <w:r w:rsidR="00BC3C91" w:rsidRPr="00E365AD">
        <w:rPr>
          <w:rFonts w:asciiTheme="minorHAnsi" w:hAnsiTheme="minorHAnsi" w:cstheme="minorHAnsi"/>
          <w:sz w:val="22"/>
          <w:szCs w:val="22"/>
          <w:lang w:val="es-ES"/>
        </w:rPr>
        <w:t>Presupuesto,</w:t>
      </w:r>
      <w:r w:rsidR="00153546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ni su remisión </w:t>
      </w:r>
      <w:r w:rsidR="00BC3C91" w:rsidRPr="00E365AD">
        <w:rPr>
          <w:rFonts w:asciiTheme="minorHAnsi" w:hAnsiTheme="minorHAnsi" w:cstheme="minorHAnsi"/>
          <w:sz w:val="22"/>
          <w:szCs w:val="22"/>
          <w:lang w:val="es-ES"/>
        </w:rPr>
        <w:t>al</w:t>
      </w:r>
      <w:r w:rsidR="00153546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Ministerio de </w:t>
      </w:r>
      <w:r w:rsidR="00BC3C91" w:rsidRPr="00E365AD">
        <w:rPr>
          <w:rFonts w:asciiTheme="minorHAnsi" w:hAnsiTheme="minorHAnsi" w:cstheme="minorHAnsi"/>
          <w:sz w:val="22"/>
          <w:szCs w:val="22"/>
          <w:lang w:val="es-ES"/>
        </w:rPr>
        <w:t>Hacienda</w:t>
      </w:r>
      <w:r w:rsidR="00E45584">
        <w:rPr>
          <w:rFonts w:asciiTheme="minorHAnsi" w:hAnsiTheme="minorHAnsi" w:cstheme="minorHAnsi"/>
          <w:sz w:val="22"/>
          <w:szCs w:val="22"/>
          <w:lang w:val="es-ES"/>
        </w:rPr>
        <w:t>, y solo se exige</w:t>
      </w:r>
      <w:r w:rsidR="00DC05CF"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su remisión con motivo de la liquidación</w:t>
      </w:r>
      <w:r w:rsidR="00BC3C91" w:rsidRPr="00E365AD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153546" w:rsidRPr="00544D8B" w:rsidRDefault="00153546" w:rsidP="00F85A6E">
      <w:pPr>
        <w:pStyle w:val="Textoindependiente21"/>
        <w:ind w:right="113" w:firstLine="0"/>
        <w:rPr>
          <w:rFonts w:ascii="Arial" w:hAnsi="Arial" w:cs="Arial"/>
          <w:sz w:val="22"/>
          <w:szCs w:val="22"/>
          <w:lang w:val="es-ES"/>
        </w:rPr>
      </w:pPr>
    </w:p>
    <w:p w:rsidR="00582FFB" w:rsidRPr="005E099E" w:rsidRDefault="00582FFB" w:rsidP="00582FFB">
      <w:pPr>
        <w:spacing w:after="0" w:line="240" w:lineRule="auto"/>
        <w:jc w:val="both"/>
        <w:rPr>
          <w:rFonts w:cs="Calibri"/>
        </w:rPr>
      </w:pPr>
      <w:r w:rsidRPr="005E099E">
        <w:rPr>
          <w:rFonts w:cs="Calibri"/>
        </w:rPr>
        <w:t xml:space="preserve">El presente </w:t>
      </w:r>
      <w:r w:rsidRPr="00E0331A">
        <w:rPr>
          <w:rFonts w:cs="Calibri"/>
          <w:color w:val="0000FF"/>
        </w:rPr>
        <w:t>modelo de informe es orientativo</w:t>
      </w:r>
      <w:r w:rsidRPr="005E099E">
        <w:rPr>
          <w:rFonts w:cs="Calibri"/>
        </w:rPr>
        <w:t xml:space="preserve"> y con él se pretende asistir a las Entidades locales de la provincia, debiéndose revisar y adaptar a las circunstancias y particularidades de cada Entidad.</w:t>
      </w:r>
    </w:p>
    <w:p w:rsidR="00582FFB" w:rsidRPr="005E099E" w:rsidRDefault="00582FFB" w:rsidP="00582FFB">
      <w:pPr>
        <w:spacing w:after="0" w:line="240" w:lineRule="auto"/>
        <w:jc w:val="both"/>
        <w:rPr>
          <w:rFonts w:cs="Calibri"/>
        </w:rPr>
      </w:pPr>
      <w:r w:rsidRPr="005E099E">
        <w:rPr>
          <w:rFonts w:cs="Calibri"/>
        </w:rPr>
        <w:t xml:space="preserve"> </w:t>
      </w:r>
    </w:p>
    <w:p w:rsidR="00153A74" w:rsidRDefault="00582FFB" w:rsidP="00153A74">
      <w:pPr>
        <w:autoSpaceDE w:val="0"/>
        <w:autoSpaceDN w:val="0"/>
        <w:adjustRightInd w:val="0"/>
        <w:spacing w:before="120" w:after="0"/>
        <w:jc w:val="both"/>
        <w:rPr>
          <w:rFonts w:cs="Calibri"/>
        </w:rPr>
      </w:pPr>
      <w:r w:rsidRPr="005E099E">
        <w:rPr>
          <w:rFonts w:cs="Calibri"/>
        </w:rPr>
        <w:t xml:space="preserve">A) </w:t>
      </w:r>
      <w:r w:rsidRPr="00335591">
        <w:rPr>
          <w:rFonts w:cs="Calibri"/>
          <w:color w:val="0000FF"/>
        </w:rPr>
        <w:t>En este modelo</w:t>
      </w:r>
      <w:r w:rsidRPr="005E099E">
        <w:rPr>
          <w:rFonts w:cs="Calibri"/>
        </w:rPr>
        <w:t xml:space="preserve"> se parte de que</w:t>
      </w:r>
      <w:r w:rsidR="00A2267A">
        <w:rPr>
          <w:rFonts w:cs="Calibri"/>
        </w:rPr>
        <w:t xml:space="preserve"> el </w:t>
      </w:r>
      <w:r w:rsidR="00A2267A" w:rsidRPr="00A2267A">
        <w:rPr>
          <w:rFonts w:cs="Calibri"/>
          <w:color w:val="0000FF"/>
        </w:rPr>
        <w:t>Presupuesto General está</w:t>
      </w:r>
      <w:r w:rsidR="00A2267A">
        <w:rPr>
          <w:rFonts w:cs="Calibri"/>
          <w:color w:val="0000FF"/>
        </w:rPr>
        <w:t xml:space="preserve"> integrado por el presupuesto </w:t>
      </w:r>
      <w:proofErr w:type="gramStart"/>
      <w:r w:rsidR="00A2267A">
        <w:rPr>
          <w:rFonts w:cs="Calibri"/>
          <w:color w:val="0000FF"/>
        </w:rPr>
        <w:t xml:space="preserve">único </w:t>
      </w:r>
      <w:r w:rsidR="00A2267A" w:rsidRPr="00A2267A">
        <w:rPr>
          <w:rFonts w:cs="Calibri"/>
          <w:color w:val="0000FF"/>
        </w:rPr>
        <w:t xml:space="preserve"> de</w:t>
      </w:r>
      <w:proofErr w:type="gramEnd"/>
      <w:r w:rsidRPr="00A2267A">
        <w:rPr>
          <w:rFonts w:cs="Calibri"/>
          <w:color w:val="0000FF"/>
        </w:rPr>
        <w:t xml:space="preserve"> la Entidad </w:t>
      </w:r>
      <w:r w:rsidRPr="005E099E">
        <w:rPr>
          <w:rFonts w:cs="Calibri"/>
        </w:rPr>
        <w:t>pues el caso de la mayoría de los municipios de la provincia.</w:t>
      </w:r>
      <w:r w:rsidR="00B4793B">
        <w:rPr>
          <w:rFonts w:cs="Calibri"/>
        </w:rPr>
        <w:t xml:space="preserve"> </w:t>
      </w:r>
    </w:p>
    <w:p w:rsidR="00582FFB" w:rsidRDefault="00B4793B" w:rsidP="00153A74">
      <w:pPr>
        <w:autoSpaceDE w:val="0"/>
        <w:autoSpaceDN w:val="0"/>
        <w:adjustRightInd w:val="0"/>
        <w:spacing w:before="120" w:after="0"/>
        <w:jc w:val="both"/>
        <w:rPr>
          <w:rFonts w:cs="Calibri"/>
        </w:rPr>
      </w:pPr>
      <w:proofErr w:type="gramStart"/>
      <w:r w:rsidRPr="009A1652">
        <w:rPr>
          <w:rFonts w:cs="Calibri"/>
          <w:u w:val="single"/>
        </w:rPr>
        <w:t xml:space="preserve">Si </w:t>
      </w:r>
      <w:r w:rsidR="009A1652" w:rsidRPr="009A1652">
        <w:rPr>
          <w:rFonts w:cs="Calibri"/>
          <w:u w:val="single"/>
        </w:rPr>
        <w:t xml:space="preserve"> la</w:t>
      </w:r>
      <w:proofErr w:type="gramEnd"/>
      <w:r w:rsidR="009A1652" w:rsidRPr="009A1652">
        <w:rPr>
          <w:rFonts w:cs="Calibri"/>
          <w:u w:val="single"/>
        </w:rPr>
        <w:t xml:space="preserve"> Entidad tiene </w:t>
      </w:r>
      <w:r w:rsidRPr="009A1652">
        <w:rPr>
          <w:rFonts w:cs="Calibri"/>
          <w:u w:val="single"/>
        </w:rPr>
        <w:t>entes dependient</w:t>
      </w:r>
      <w:r w:rsidR="001A6F84" w:rsidRPr="009A1652">
        <w:rPr>
          <w:rFonts w:cs="Calibri"/>
          <w:u w:val="single"/>
        </w:rPr>
        <w:t>es</w:t>
      </w:r>
      <w:r w:rsidR="00A2267A">
        <w:rPr>
          <w:rFonts w:cs="Calibri"/>
        </w:rPr>
        <w:t xml:space="preserve"> o vinculados</w:t>
      </w:r>
      <w:r w:rsidR="00AA66D7">
        <w:rPr>
          <w:rFonts w:cs="Calibri"/>
        </w:rPr>
        <w:t>,</w:t>
      </w:r>
      <w:r w:rsidR="00F072B5">
        <w:rPr>
          <w:rFonts w:cs="Calibri"/>
        </w:rPr>
        <w:t xml:space="preserve"> tener en cuenta la </w:t>
      </w:r>
      <w:r w:rsidR="009A1652">
        <w:rPr>
          <w:rFonts w:cs="Calibri"/>
        </w:rPr>
        <w:t>Guía</w:t>
      </w:r>
      <w:r w:rsidR="00F072B5">
        <w:rPr>
          <w:rFonts w:cs="Calibri"/>
        </w:rPr>
        <w:t xml:space="preserve"> </w:t>
      </w:r>
      <w:r w:rsidR="009A1652">
        <w:rPr>
          <w:rFonts w:cs="Calibri"/>
        </w:rPr>
        <w:t>para la comunicación de información del Presupuesto  que se publica anualmente</w:t>
      </w:r>
      <w:r w:rsidR="00E45584">
        <w:rPr>
          <w:rFonts w:cs="Calibri"/>
        </w:rPr>
        <w:t xml:space="preserve"> </w:t>
      </w:r>
      <w:r w:rsidR="009A1652">
        <w:rPr>
          <w:rFonts w:cs="Calibri"/>
        </w:rPr>
        <w:t>(junto a la aplicación de captura del Presupuesto) en la Oficina Virtual para la Coordinación Financiera con las Entidades locales, y en concreto el punto 2.5 :</w:t>
      </w:r>
    </w:p>
    <w:p w:rsidR="009A1652" w:rsidRPr="005E099E" w:rsidRDefault="009A1652" w:rsidP="009A1652">
      <w:pPr>
        <w:autoSpaceDE w:val="0"/>
        <w:autoSpaceDN w:val="0"/>
        <w:adjustRightInd w:val="0"/>
        <w:spacing w:before="120" w:after="0"/>
        <w:jc w:val="center"/>
        <w:rPr>
          <w:rFonts w:cs="Calibri"/>
        </w:rPr>
      </w:pPr>
      <w:r>
        <w:rPr>
          <w:rFonts w:cs="Calibri"/>
          <w:noProof/>
          <w:lang w:eastAsia="es-ES"/>
        </w:rPr>
        <w:drawing>
          <wp:inline distT="0" distB="0" distL="0" distR="0">
            <wp:extent cx="5372100" cy="141922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FB" w:rsidRPr="005E099E" w:rsidRDefault="00582FFB" w:rsidP="00582FFB">
      <w:pPr>
        <w:pStyle w:val="Default"/>
        <w:ind w:left="567"/>
        <w:jc w:val="both"/>
        <w:rPr>
          <w:i/>
          <w:color w:val="auto"/>
          <w:sz w:val="22"/>
          <w:szCs w:val="22"/>
        </w:rPr>
      </w:pPr>
    </w:p>
    <w:p w:rsidR="00582FFB" w:rsidRPr="005E099E" w:rsidRDefault="00582FFB" w:rsidP="00E45584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5E099E">
        <w:rPr>
          <w:color w:val="auto"/>
          <w:sz w:val="22"/>
          <w:szCs w:val="22"/>
        </w:rPr>
        <w:t xml:space="preserve">B) Respecto a los </w:t>
      </w:r>
      <w:r w:rsidRPr="00E36867">
        <w:rPr>
          <w:color w:val="0000FF"/>
          <w:sz w:val="22"/>
          <w:szCs w:val="22"/>
        </w:rPr>
        <w:t xml:space="preserve">ajustes </w:t>
      </w:r>
      <w:proofErr w:type="gramStart"/>
      <w:r w:rsidRPr="00E36867">
        <w:rPr>
          <w:color w:val="0000FF"/>
          <w:sz w:val="22"/>
          <w:szCs w:val="22"/>
        </w:rPr>
        <w:t>SEC ,</w:t>
      </w:r>
      <w:proofErr w:type="gramEnd"/>
      <w:r w:rsidRPr="00E36867">
        <w:rPr>
          <w:color w:val="0000FF"/>
          <w:sz w:val="22"/>
          <w:szCs w:val="22"/>
        </w:rPr>
        <w:t xml:space="preserve"> en este modelo se contemplan aquellos que se estiman más frecuentes</w:t>
      </w:r>
      <w:r w:rsidRPr="005E099E">
        <w:rPr>
          <w:color w:val="auto"/>
          <w:sz w:val="22"/>
          <w:szCs w:val="22"/>
        </w:rPr>
        <w:t xml:space="preserve">. Por ello, para realizar otros ajustes SEC, se debe consultar: </w:t>
      </w:r>
    </w:p>
    <w:p w:rsidR="00582FFB" w:rsidRPr="005E099E" w:rsidRDefault="00582FFB" w:rsidP="00E45584">
      <w:pPr>
        <w:numPr>
          <w:ilvl w:val="0"/>
          <w:numId w:val="3"/>
        </w:numPr>
        <w:tabs>
          <w:tab w:val="clear" w:pos="1920"/>
        </w:tabs>
        <w:spacing w:after="0" w:line="240" w:lineRule="auto"/>
        <w:ind w:left="1418" w:hanging="340"/>
        <w:jc w:val="both"/>
        <w:rPr>
          <w:rFonts w:cs="Calibri"/>
        </w:rPr>
      </w:pPr>
      <w:r w:rsidRPr="005E099E">
        <w:rPr>
          <w:rFonts w:cs="Calibri"/>
        </w:rPr>
        <w:t>Manual de cálculo del déficit en contabilidad nacional adaptado a las Corporaciones Locales, publicado por la IGAE.</w:t>
      </w:r>
    </w:p>
    <w:p w:rsidR="001A6F84" w:rsidRDefault="001A6F84" w:rsidP="001A6F84">
      <w:pPr>
        <w:spacing w:after="0" w:line="240" w:lineRule="auto"/>
        <w:ind w:left="709"/>
        <w:jc w:val="both"/>
        <w:rPr>
          <w:rFonts w:cs="Calibri"/>
        </w:rPr>
      </w:pPr>
    </w:p>
    <w:p w:rsidR="00D47933" w:rsidRPr="00E36867" w:rsidRDefault="00B4793B" w:rsidP="00E45584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FF"/>
        </w:rPr>
      </w:pPr>
      <w:r>
        <w:rPr>
          <w:rFonts w:cs="Calibri"/>
        </w:rPr>
        <w:t xml:space="preserve">C) </w:t>
      </w:r>
      <w:r w:rsidR="00F31E6F">
        <w:rPr>
          <w:rFonts w:cs="Calibri"/>
        </w:rPr>
        <w:t xml:space="preserve">En la </w:t>
      </w:r>
      <w:r w:rsidR="00D47933">
        <w:rPr>
          <w:rFonts w:cs="Calibri"/>
        </w:rPr>
        <w:t>pág.</w:t>
      </w:r>
      <w:r w:rsidR="00F31E6F">
        <w:rPr>
          <w:rFonts w:cs="Calibri"/>
        </w:rPr>
        <w:t xml:space="preserve"> web del SAM, junto a este modelo de informe, existe un </w:t>
      </w:r>
      <w:r w:rsidR="00F31E6F" w:rsidRPr="00E36867">
        <w:rPr>
          <w:rFonts w:cs="Calibri"/>
          <w:color w:val="0000FF"/>
        </w:rPr>
        <w:t xml:space="preserve">archivo Excel para efectuar los diferentes </w:t>
      </w:r>
      <w:r w:rsidR="00D47933" w:rsidRPr="00E36867">
        <w:rPr>
          <w:rFonts w:cs="Calibri"/>
          <w:color w:val="0000FF"/>
        </w:rPr>
        <w:t>cálculos</w:t>
      </w:r>
      <w:r w:rsidR="00BF2C39">
        <w:rPr>
          <w:rFonts w:cs="Calibri"/>
          <w:color w:val="0000FF"/>
        </w:rPr>
        <w:t xml:space="preserve"> de ajustes </w:t>
      </w:r>
      <w:proofErr w:type="spellStart"/>
      <w:r w:rsidR="00BF2C39">
        <w:rPr>
          <w:rFonts w:cs="Calibri"/>
          <w:color w:val="0000FF"/>
        </w:rPr>
        <w:t>Sec</w:t>
      </w:r>
      <w:proofErr w:type="spellEnd"/>
      <w:r w:rsidR="00BF2C39">
        <w:rPr>
          <w:rFonts w:cs="Calibri"/>
          <w:color w:val="0000FF"/>
        </w:rPr>
        <w:t xml:space="preserve"> en </w:t>
      </w:r>
      <w:r w:rsidR="00D47933" w:rsidRPr="00E36867">
        <w:rPr>
          <w:rFonts w:cs="Calibri"/>
          <w:color w:val="0000FF"/>
        </w:rPr>
        <w:t>estabilidad</w:t>
      </w:r>
      <w:r w:rsidR="00F85A6E">
        <w:rPr>
          <w:rFonts w:cs="Calibri"/>
          <w:color w:val="0000FF"/>
        </w:rPr>
        <w:t xml:space="preserve"> </w:t>
      </w:r>
      <w:proofErr w:type="gramStart"/>
      <w:r w:rsidR="00F85A6E">
        <w:rPr>
          <w:rFonts w:cs="Calibri"/>
          <w:color w:val="0000FF"/>
        </w:rPr>
        <w:t xml:space="preserve">presupuestaria </w:t>
      </w:r>
      <w:r w:rsidR="00D47933" w:rsidRPr="00E36867">
        <w:rPr>
          <w:rFonts w:cs="Calibri"/>
          <w:color w:val="0000FF"/>
        </w:rPr>
        <w:t>,</w:t>
      </w:r>
      <w:proofErr w:type="gramEnd"/>
      <w:r w:rsidR="00BF2C39">
        <w:rPr>
          <w:rFonts w:cs="Calibri"/>
          <w:color w:val="0000FF"/>
        </w:rPr>
        <w:t xml:space="preserve"> y cálculo</w:t>
      </w:r>
      <w:r w:rsidR="00D47933" w:rsidRPr="00E36867">
        <w:rPr>
          <w:rFonts w:cs="Calibri"/>
          <w:color w:val="0000FF"/>
        </w:rPr>
        <w:t xml:space="preserve"> </w:t>
      </w:r>
      <w:r w:rsidR="00BF2C39">
        <w:rPr>
          <w:rFonts w:cs="Calibri"/>
          <w:color w:val="0000FF"/>
        </w:rPr>
        <w:t xml:space="preserve"> de </w:t>
      </w:r>
      <w:r w:rsidR="00D47933" w:rsidRPr="00E36867">
        <w:rPr>
          <w:rFonts w:cs="Calibri"/>
          <w:color w:val="0000FF"/>
        </w:rPr>
        <w:t>deuda.</w:t>
      </w:r>
    </w:p>
    <w:p w:rsidR="00D47933" w:rsidRDefault="00D47933" w:rsidP="00B479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Las tablas que se incluyen en este </w:t>
      </w:r>
      <w:proofErr w:type="gramStart"/>
      <w:r>
        <w:rPr>
          <w:rFonts w:cs="Calibri"/>
        </w:rPr>
        <w:t>modelo  para</w:t>
      </w:r>
      <w:proofErr w:type="gramEnd"/>
      <w:r>
        <w:rPr>
          <w:rFonts w:cs="Calibri"/>
        </w:rPr>
        <w:t xml:space="preserve"> realizar dichos cálculos, no contienen formulas. Por ello, una vez cumplimentada la Excel, basta con seleccionar y copiar el correspondiente cálculo, y pegarlo en el informe.</w:t>
      </w:r>
    </w:p>
    <w:p w:rsidR="00582FFB" w:rsidRPr="005E099E" w:rsidRDefault="00582FFB" w:rsidP="00582FFB">
      <w:pPr>
        <w:pStyle w:val="Default"/>
        <w:jc w:val="both"/>
        <w:rPr>
          <w:color w:val="auto"/>
          <w:sz w:val="22"/>
          <w:szCs w:val="22"/>
        </w:rPr>
      </w:pPr>
    </w:p>
    <w:p w:rsidR="00582FFB" w:rsidRPr="00E0331A" w:rsidRDefault="00BC3C91" w:rsidP="00E033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Cs/>
          <w:color w:val="0000FF"/>
        </w:rPr>
      </w:pPr>
      <w:r>
        <w:t>D</w:t>
      </w:r>
      <w:r w:rsidR="00582FFB" w:rsidRPr="005E099E">
        <w:t xml:space="preserve">) Se recuerda que una vez cumplimentado el modelo y antes de proceder a su impresión, se deben </w:t>
      </w:r>
      <w:r w:rsidR="00582FFB" w:rsidRPr="00E36867">
        <w:rPr>
          <w:color w:val="0000FF"/>
        </w:rPr>
        <w:t xml:space="preserve">eliminar las notas sombreadas en gris, así como suprimir el logotipo de la </w:t>
      </w:r>
      <w:r w:rsidR="00E45584">
        <w:rPr>
          <w:color w:val="0000FF"/>
        </w:rPr>
        <w:t>D</w:t>
      </w:r>
      <w:r w:rsidR="00582FFB" w:rsidRPr="00E36867">
        <w:rPr>
          <w:color w:val="0000FF"/>
        </w:rPr>
        <w:t>iputación</w:t>
      </w:r>
      <w:r w:rsidR="00582FFB" w:rsidRPr="005E099E">
        <w:t>.</w:t>
      </w:r>
      <w:r w:rsidR="00E0331A">
        <w:t xml:space="preserve"> </w:t>
      </w:r>
      <w:r w:rsidR="00E0331A" w:rsidRPr="00E0331A">
        <w:rPr>
          <w:rFonts w:asciiTheme="minorHAnsi" w:hAnsiTheme="minorHAnsi" w:cstheme="minorHAnsi"/>
        </w:rPr>
        <w:t>También e</w:t>
      </w:r>
      <w:r w:rsidR="00E0331A" w:rsidRPr="00E0331A">
        <w:rPr>
          <w:rFonts w:asciiTheme="minorHAnsi" w:hAnsiTheme="minorHAnsi" w:cstheme="minorHAnsi"/>
          <w:bCs/>
          <w:color w:val="0000FF"/>
        </w:rPr>
        <w:t xml:space="preserve">liminar estas notas aclaratorias cuando se haya confeccionado el informe </w:t>
      </w:r>
    </w:p>
    <w:p w:rsidR="00766F1F" w:rsidRPr="000973AC" w:rsidRDefault="00766F1F" w:rsidP="00B3707A">
      <w:pPr>
        <w:spacing w:after="0" w:line="240" w:lineRule="auto"/>
        <w:jc w:val="center"/>
        <w:rPr>
          <w:rFonts w:cs="Calibri"/>
          <w:b/>
        </w:rPr>
      </w:pPr>
      <w:r w:rsidRPr="000973AC">
        <w:rPr>
          <w:rFonts w:cs="Calibri"/>
          <w:b/>
        </w:rPr>
        <w:lastRenderedPageBreak/>
        <w:t>INFO</w:t>
      </w:r>
      <w:r w:rsidR="00BF2C39">
        <w:rPr>
          <w:rFonts w:cs="Calibri"/>
          <w:b/>
        </w:rPr>
        <w:t xml:space="preserve">RME ESTABILIDAD PRESUPUESTARIA </w:t>
      </w:r>
      <w:r w:rsidRPr="000973AC">
        <w:rPr>
          <w:rFonts w:cs="Calibri"/>
          <w:b/>
        </w:rPr>
        <w:t xml:space="preserve">Y LIMITE DEUDA </w:t>
      </w:r>
      <w:r w:rsidR="00625366">
        <w:rPr>
          <w:rFonts w:cs="Calibri"/>
          <w:b/>
        </w:rPr>
        <w:t xml:space="preserve">CON MOTIVO DE LA APROBACION DEL PRESUPUESTO GENERAL </w:t>
      </w:r>
      <w:r w:rsidR="007B1B8F">
        <w:rPr>
          <w:rFonts w:cs="Calibri"/>
          <w:b/>
        </w:rPr>
        <w:t xml:space="preserve">PARA EL EJERCICIO </w:t>
      </w:r>
      <w:r w:rsidR="00625366" w:rsidRPr="007B1B8F">
        <w:rPr>
          <w:rFonts w:cs="Calibri"/>
          <w:b/>
          <w:color w:val="0000FF"/>
        </w:rPr>
        <w:t xml:space="preserve"> 20</w:t>
      </w:r>
      <w:r w:rsidR="009A1652">
        <w:rPr>
          <w:rFonts w:cs="Calibri"/>
          <w:b/>
          <w:color w:val="0000FF"/>
        </w:rPr>
        <w:t>2</w:t>
      </w:r>
      <w:r w:rsidR="009C72F6">
        <w:rPr>
          <w:rFonts w:cs="Calibri"/>
          <w:b/>
          <w:color w:val="0000FF"/>
        </w:rPr>
        <w:t>4</w:t>
      </w:r>
    </w:p>
    <w:p w:rsidR="00D61051" w:rsidRPr="000973AC" w:rsidRDefault="00D61051" w:rsidP="00F0457A">
      <w:pPr>
        <w:pStyle w:val="Default"/>
        <w:jc w:val="both"/>
        <w:rPr>
          <w:sz w:val="22"/>
          <w:szCs w:val="22"/>
        </w:rPr>
      </w:pPr>
    </w:p>
    <w:p w:rsidR="00663731" w:rsidRDefault="00F0457A" w:rsidP="00F0457A">
      <w:pPr>
        <w:pStyle w:val="Default"/>
        <w:jc w:val="both"/>
        <w:rPr>
          <w:sz w:val="22"/>
          <w:szCs w:val="22"/>
        </w:rPr>
      </w:pPr>
      <w:r w:rsidRPr="000973AC">
        <w:rPr>
          <w:sz w:val="22"/>
          <w:szCs w:val="22"/>
        </w:rPr>
        <w:t>D</w:t>
      </w:r>
      <w:r w:rsidR="009C72F6">
        <w:rPr>
          <w:sz w:val="22"/>
          <w:szCs w:val="22"/>
        </w:rPr>
        <w:t>/Dª</w:t>
      </w:r>
      <w:r w:rsidRPr="000973AC">
        <w:rPr>
          <w:sz w:val="22"/>
          <w:szCs w:val="22"/>
        </w:rPr>
        <w:t>.___________________________________</w:t>
      </w:r>
      <w:r w:rsidR="009C72F6">
        <w:rPr>
          <w:sz w:val="22"/>
          <w:szCs w:val="22"/>
        </w:rPr>
        <w:t>__________________</w:t>
      </w:r>
      <w:r w:rsidRPr="000973AC">
        <w:rPr>
          <w:sz w:val="22"/>
          <w:szCs w:val="22"/>
        </w:rPr>
        <w:t>_ Secretario</w:t>
      </w:r>
      <w:r w:rsidR="00D63E46">
        <w:rPr>
          <w:sz w:val="22"/>
          <w:szCs w:val="22"/>
        </w:rPr>
        <w:t>/a</w:t>
      </w:r>
      <w:r w:rsidRPr="000973AC">
        <w:rPr>
          <w:sz w:val="22"/>
          <w:szCs w:val="22"/>
        </w:rPr>
        <w:t>-Interventor/</w:t>
      </w:r>
      <w:r w:rsidR="00D63E46">
        <w:rPr>
          <w:sz w:val="22"/>
          <w:szCs w:val="22"/>
        </w:rPr>
        <w:t xml:space="preserve">a o </w:t>
      </w:r>
      <w:r w:rsidRPr="000973AC">
        <w:rPr>
          <w:sz w:val="22"/>
          <w:szCs w:val="22"/>
        </w:rPr>
        <w:t>Interventor</w:t>
      </w:r>
      <w:r w:rsidR="00D63E46">
        <w:rPr>
          <w:sz w:val="22"/>
          <w:szCs w:val="22"/>
        </w:rPr>
        <w:t xml:space="preserve">/a </w:t>
      </w:r>
      <w:r w:rsidRPr="000973AC">
        <w:rPr>
          <w:sz w:val="22"/>
          <w:szCs w:val="22"/>
        </w:rPr>
        <w:t>del Ayuntamiento de______</w:t>
      </w:r>
      <w:r w:rsidR="00D63E46">
        <w:rPr>
          <w:sz w:val="22"/>
          <w:szCs w:val="22"/>
        </w:rPr>
        <w:t>______________</w:t>
      </w:r>
      <w:r w:rsidRPr="000973AC">
        <w:rPr>
          <w:sz w:val="22"/>
          <w:szCs w:val="22"/>
        </w:rPr>
        <w:t xml:space="preserve"> en cumplimiento del artículo 16 del Real Decreto 1463/2007, de 2 de noviembre, por el que </w:t>
      </w:r>
      <w:r w:rsidR="00051ADB">
        <w:rPr>
          <w:sz w:val="22"/>
          <w:szCs w:val="22"/>
        </w:rPr>
        <w:t>se aprueba el reglamento de la L</w:t>
      </w:r>
      <w:r w:rsidR="00A66EF5">
        <w:rPr>
          <w:sz w:val="22"/>
          <w:szCs w:val="22"/>
        </w:rPr>
        <w:t xml:space="preserve">ey de </w:t>
      </w:r>
      <w:r w:rsidR="00051ADB">
        <w:rPr>
          <w:sz w:val="22"/>
          <w:szCs w:val="22"/>
        </w:rPr>
        <w:t>E</w:t>
      </w:r>
      <w:r w:rsidRPr="000973AC">
        <w:rPr>
          <w:sz w:val="22"/>
          <w:szCs w:val="22"/>
        </w:rPr>
        <w:t xml:space="preserve">stabilidad </w:t>
      </w:r>
      <w:r w:rsidR="00051ADB">
        <w:rPr>
          <w:sz w:val="22"/>
          <w:szCs w:val="22"/>
        </w:rPr>
        <w:t>P</w:t>
      </w:r>
      <w:r w:rsidRPr="000973AC">
        <w:rPr>
          <w:sz w:val="22"/>
          <w:szCs w:val="22"/>
        </w:rPr>
        <w:t xml:space="preserve">resupuestaria en su aplicación a las Entidades Locales, así como de lo dispuesto en la Ley Orgánica 2/2012, de 27 de abril, de Estabilidad Presupuestaria y Sostenibilidad Financiera , emite el siguiente informe que tiene por objeto verificar el cumplimiento de </w:t>
      </w:r>
      <w:r w:rsidRPr="00B920FB">
        <w:rPr>
          <w:sz w:val="22"/>
          <w:szCs w:val="22"/>
        </w:rPr>
        <w:t xml:space="preserve">los de estabilidad presupuestaria y límite de deuda </w:t>
      </w:r>
      <w:r w:rsidRPr="000973AC">
        <w:rPr>
          <w:sz w:val="22"/>
          <w:szCs w:val="22"/>
        </w:rPr>
        <w:t>con motivo de la aprob</w:t>
      </w:r>
      <w:r w:rsidR="00B3707A">
        <w:rPr>
          <w:sz w:val="22"/>
          <w:szCs w:val="22"/>
        </w:rPr>
        <w:t>ación del Presupuesto  G</w:t>
      </w:r>
      <w:r w:rsidRPr="000973AC">
        <w:rPr>
          <w:sz w:val="22"/>
          <w:szCs w:val="22"/>
        </w:rPr>
        <w:t xml:space="preserve">eneral del ejercicio </w:t>
      </w:r>
      <w:r w:rsidRPr="000973AC">
        <w:rPr>
          <w:color w:val="0000FF"/>
          <w:sz w:val="22"/>
          <w:szCs w:val="22"/>
        </w:rPr>
        <w:t>20</w:t>
      </w:r>
      <w:r w:rsidR="009A1652">
        <w:rPr>
          <w:color w:val="0000FF"/>
          <w:sz w:val="22"/>
          <w:szCs w:val="22"/>
        </w:rPr>
        <w:t>2</w:t>
      </w:r>
      <w:r w:rsidR="00232FA8">
        <w:rPr>
          <w:color w:val="0000FF"/>
          <w:sz w:val="22"/>
          <w:szCs w:val="22"/>
        </w:rPr>
        <w:t>4</w:t>
      </w:r>
      <w:r w:rsidRPr="000973AC">
        <w:rPr>
          <w:sz w:val="22"/>
          <w:szCs w:val="22"/>
        </w:rPr>
        <w:t>.</w:t>
      </w:r>
      <w:r w:rsidR="00D4664A">
        <w:rPr>
          <w:sz w:val="22"/>
          <w:szCs w:val="22"/>
        </w:rPr>
        <w:t xml:space="preserve"> </w:t>
      </w:r>
    </w:p>
    <w:p w:rsidR="00F57C1C" w:rsidRPr="000973AC" w:rsidRDefault="00F57C1C" w:rsidP="00F0457A">
      <w:pPr>
        <w:pStyle w:val="Default"/>
        <w:jc w:val="both"/>
        <w:rPr>
          <w:sz w:val="22"/>
          <w:szCs w:val="22"/>
        </w:rPr>
      </w:pPr>
    </w:p>
    <w:p w:rsidR="00663731" w:rsidRPr="00A93F5A" w:rsidRDefault="00663731" w:rsidP="00663731">
      <w:pPr>
        <w:spacing w:after="120" w:line="240" w:lineRule="auto"/>
        <w:jc w:val="both"/>
        <w:rPr>
          <w:rFonts w:cs="Calibri"/>
          <w:i/>
          <w:sz w:val="20"/>
          <w:szCs w:val="20"/>
        </w:rPr>
      </w:pPr>
      <w:r w:rsidRPr="00A93F5A">
        <w:rPr>
          <w:rFonts w:cs="Calibri"/>
          <w:i/>
          <w:sz w:val="20"/>
          <w:szCs w:val="20"/>
          <w:highlight w:val="lightGray"/>
        </w:rPr>
        <w:t>(</w:t>
      </w:r>
      <w:r w:rsidR="006F0545" w:rsidRPr="00A93F5A">
        <w:rPr>
          <w:rFonts w:cs="Calibri"/>
          <w:i/>
          <w:sz w:val="20"/>
          <w:szCs w:val="20"/>
          <w:highlight w:val="lightGray"/>
        </w:rPr>
        <w:t xml:space="preserve">Nota: </w:t>
      </w:r>
      <w:r w:rsidRPr="00A93F5A">
        <w:rPr>
          <w:rFonts w:cs="Calibri"/>
          <w:i/>
          <w:sz w:val="20"/>
          <w:szCs w:val="20"/>
          <w:highlight w:val="lightGray"/>
        </w:rPr>
        <w:t xml:space="preserve">El artículo 16.2 del RLEP determina que </w:t>
      </w:r>
      <w:smartTag w:uri="urn:schemas-microsoft-com:office:smarttags" w:element="PersonName">
        <w:smartTagPr>
          <w:attr w:name="ProductID" w:val="la Intervenci￳n"/>
        </w:smartTagPr>
        <w:r w:rsidRPr="00A93F5A">
          <w:rPr>
            <w:rFonts w:cs="Calibri"/>
            <w:i/>
            <w:sz w:val="20"/>
            <w:szCs w:val="20"/>
            <w:highlight w:val="lightGray"/>
          </w:rPr>
          <w:t xml:space="preserve">la </w:t>
        </w:r>
        <w:r w:rsidRPr="00A93F5A">
          <w:rPr>
            <w:rFonts w:cs="Calibri"/>
            <w:b/>
            <w:i/>
            <w:sz w:val="20"/>
            <w:szCs w:val="20"/>
            <w:highlight w:val="lightGray"/>
          </w:rPr>
          <w:t>Intervención</w:t>
        </w:r>
      </w:smartTag>
      <w:r w:rsidRPr="00A93F5A">
        <w:rPr>
          <w:rFonts w:cs="Calibri"/>
          <w:i/>
          <w:sz w:val="20"/>
          <w:szCs w:val="20"/>
          <w:highlight w:val="lightGray"/>
        </w:rPr>
        <w:t xml:space="preserve"> local </w:t>
      </w:r>
      <w:r w:rsidRPr="00A93F5A">
        <w:rPr>
          <w:rFonts w:cs="Calibri"/>
          <w:b/>
          <w:i/>
          <w:sz w:val="20"/>
          <w:szCs w:val="20"/>
          <w:highlight w:val="lightGray"/>
        </w:rPr>
        <w:t>elevará al Pleno un informe</w:t>
      </w:r>
      <w:r w:rsidRPr="00A93F5A">
        <w:rPr>
          <w:rFonts w:cs="Calibri"/>
          <w:i/>
          <w:sz w:val="20"/>
          <w:szCs w:val="20"/>
          <w:highlight w:val="lightGray"/>
        </w:rPr>
        <w:t xml:space="preserve"> sobre el cumplimiento del objetivo de estabilidad de la propia entidad local y de sus organismos y entidades dependientes. El informe se emitirá </w:t>
      </w:r>
      <w:r w:rsidRPr="00A93F5A">
        <w:rPr>
          <w:rFonts w:cs="Calibri"/>
          <w:b/>
          <w:i/>
          <w:sz w:val="20"/>
          <w:szCs w:val="20"/>
          <w:highlight w:val="lightGray"/>
        </w:rPr>
        <w:t>con carácter independiente</w:t>
      </w:r>
      <w:r w:rsidRPr="00A93F5A">
        <w:rPr>
          <w:rFonts w:cs="Calibri"/>
          <w:i/>
          <w:sz w:val="20"/>
          <w:szCs w:val="20"/>
          <w:highlight w:val="lightGray"/>
        </w:rPr>
        <w:t xml:space="preserve"> y se incorporará al previsto en el artículo 168.4 </w:t>
      </w:r>
      <w:r w:rsidR="00F434FB" w:rsidRPr="00A93F5A">
        <w:rPr>
          <w:rFonts w:cs="Calibri"/>
          <w:i/>
          <w:sz w:val="20"/>
          <w:szCs w:val="20"/>
          <w:highlight w:val="lightGray"/>
        </w:rPr>
        <w:t xml:space="preserve">,177.2 y 191.3 </w:t>
      </w:r>
      <w:r w:rsidRPr="00A93F5A">
        <w:rPr>
          <w:rFonts w:cs="Calibri"/>
          <w:i/>
          <w:sz w:val="20"/>
          <w:szCs w:val="20"/>
          <w:highlight w:val="lightGray"/>
        </w:rPr>
        <w:t>del TRLRHL- referido</w:t>
      </w:r>
      <w:r w:rsidR="00F434FB" w:rsidRPr="00A93F5A">
        <w:rPr>
          <w:rFonts w:cs="Calibri"/>
          <w:i/>
          <w:sz w:val="20"/>
          <w:szCs w:val="20"/>
          <w:highlight w:val="lightGray"/>
        </w:rPr>
        <w:t>s</w:t>
      </w:r>
      <w:r w:rsidRPr="00A93F5A">
        <w:rPr>
          <w:rFonts w:cs="Calibri"/>
          <w:i/>
          <w:sz w:val="20"/>
          <w:szCs w:val="20"/>
          <w:highlight w:val="lightGray"/>
        </w:rPr>
        <w:t xml:space="preserve"> a la </w:t>
      </w:r>
      <w:r w:rsidR="00184C24" w:rsidRPr="00A93F5A">
        <w:rPr>
          <w:rFonts w:cs="Calibri"/>
          <w:i/>
          <w:sz w:val="20"/>
          <w:szCs w:val="20"/>
          <w:highlight w:val="lightGray"/>
        </w:rPr>
        <w:t>aprobación, modificaciones</w:t>
      </w:r>
      <w:r w:rsidR="00F434FB" w:rsidRPr="00A93F5A">
        <w:rPr>
          <w:rFonts w:cs="Calibri"/>
          <w:i/>
          <w:sz w:val="20"/>
          <w:szCs w:val="20"/>
          <w:highlight w:val="lightGray"/>
        </w:rPr>
        <w:t xml:space="preserve"> y </w:t>
      </w:r>
      <w:proofErr w:type="gramStart"/>
      <w:r w:rsidR="00F434FB" w:rsidRPr="00A93F5A">
        <w:rPr>
          <w:rFonts w:cs="Calibri"/>
          <w:i/>
          <w:sz w:val="20"/>
          <w:szCs w:val="20"/>
          <w:highlight w:val="lightGray"/>
        </w:rPr>
        <w:t xml:space="preserve">liquidación </w:t>
      </w:r>
      <w:r w:rsidRPr="00A93F5A">
        <w:rPr>
          <w:rFonts w:cs="Calibri"/>
          <w:i/>
          <w:sz w:val="20"/>
          <w:szCs w:val="20"/>
          <w:highlight w:val="lightGray"/>
        </w:rPr>
        <w:t xml:space="preserve"> del</w:t>
      </w:r>
      <w:proofErr w:type="gramEnd"/>
      <w:r w:rsidRPr="00A93F5A">
        <w:rPr>
          <w:rFonts w:cs="Calibri"/>
          <w:i/>
          <w:sz w:val="20"/>
          <w:szCs w:val="20"/>
          <w:highlight w:val="lightGray"/>
        </w:rPr>
        <w:t xml:space="preserve"> presupuesto</w:t>
      </w:r>
      <w:r w:rsidR="00F434FB" w:rsidRPr="00A93F5A">
        <w:rPr>
          <w:rFonts w:cs="Calibri"/>
          <w:i/>
          <w:sz w:val="20"/>
          <w:szCs w:val="20"/>
          <w:highlight w:val="lightGray"/>
        </w:rPr>
        <w:t xml:space="preserve"> general</w:t>
      </w:r>
      <w:r w:rsidRPr="00A93F5A">
        <w:rPr>
          <w:rFonts w:cs="Calibri"/>
          <w:i/>
          <w:sz w:val="20"/>
          <w:szCs w:val="20"/>
          <w:highlight w:val="lightGray"/>
        </w:rPr>
        <w:t>-)</w:t>
      </w:r>
    </w:p>
    <w:p w:rsidR="00D61051" w:rsidRPr="000973AC" w:rsidRDefault="00D61051" w:rsidP="00766F1F">
      <w:pPr>
        <w:spacing w:after="0" w:line="240" w:lineRule="auto"/>
        <w:rPr>
          <w:rFonts w:cs="Calibri"/>
        </w:rPr>
      </w:pPr>
    </w:p>
    <w:p w:rsidR="00766F1F" w:rsidRPr="000973AC" w:rsidRDefault="00077248" w:rsidP="00766F1F">
      <w:pPr>
        <w:spacing w:after="0" w:line="240" w:lineRule="auto"/>
        <w:jc w:val="both"/>
        <w:rPr>
          <w:rFonts w:cs="Calibri"/>
        </w:rPr>
      </w:pPr>
      <w:r w:rsidRPr="000973AC">
        <w:rPr>
          <w:rFonts w:cs="Calibri"/>
          <w:b/>
        </w:rPr>
        <w:t xml:space="preserve">1.- </w:t>
      </w:r>
      <w:r w:rsidR="00766F1F" w:rsidRPr="000973AC">
        <w:rPr>
          <w:rFonts w:cs="Calibri"/>
          <w:b/>
        </w:rPr>
        <w:t>NORMATIVA APLICABLE:</w:t>
      </w:r>
    </w:p>
    <w:p w:rsidR="00766F1F" w:rsidRPr="000973AC" w:rsidRDefault="00766F1F" w:rsidP="00885A81">
      <w:pPr>
        <w:numPr>
          <w:ilvl w:val="0"/>
          <w:numId w:val="3"/>
        </w:numPr>
        <w:tabs>
          <w:tab w:val="clear" w:pos="1920"/>
          <w:tab w:val="num" w:pos="851"/>
        </w:tabs>
        <w:spacing w:after="60" w:line="240" w:lineRule="auto"/>
        <w:ind w:left="851" w:hanging="339"/>
        <w:jc w:val="both"/>
        <w:rPr>
          <w:rFonts w:cs="Calibri"/>
        </w:rPr>
      </w:pPr>
      <w:r w:rsidRPr="000973AC">
        <w:rPr>
          <w:rFonts w:cs="Calibri"/>
        </w:rPr>
        <w:t>Ley Orgánica 2/2012, de 27 de abril, de Estabilidad Presupuestaria y Sostenibilidad Financiera (LOEPSF)</w:t>
      </w:r>
    </w:p>
    <w:p w:rsidR="00766F1F" w:rsidRPr="000973AC" w:rsidRDefault="00766F1F" w:rsidP="00885A81">
      <w:pPr>
        <w:numPr>
          <w:ilvl w:val="0"/>
          <w:numId w:val="3"/>
        </w:numPr>
        <w:tabs>
          <w:tab w:val="clear" w:pos="1920"/>
          <w:tab w:val="num" w:pos="851"/>
        </w:tabs>
        <w:spacing w:after="60" w:line="240" w:lineRule="auto"/>
        <w:ind w:left="851" w:hanging="339"/>
        <w:jc w:val="both"/>
        <w:rPr>
          <w:rFonts w:cs="Calibri"/>
        </w:rPr>
      </w:pPr>
      <w:r w:rsidRPr="000973AC">
        <w:rPr>
          <w:rFonts w:cs="Calibri"/>
        </w:rPr>
        <w:t>Real Decreto  1463/2007, de  2  de noviembre, por el que se aprueba el Reglamento de desarrollo de la Ley  18/2001, de  12  de diciembre, de Estabilidad Presupuestaria, en su aplicación a las entidades locales (RLEP)</w:t>
      </w:r>
    </w:p>
    <w:p w:rsidR="00766F1F" w:rsidRPr="000973AC" w:rsidRDefault="00766F1F" w:rsidP="00885A81">
      <w:pPr>
        <w:numPr>
          <w:ilvl w:val="0"/>
          <w:numId w:val="3"/>
        </w:numPr>
        <w:tabs>
          <w:tab w:val="clear" w:pos="1920"/>
          <w:tab w:val="num" w:pos="851"/>
        </w:tabs>
        <w:spacing w:after="60" w:line="240" w:lineRule="auto"/>
        <w:ind w:left="851" w:hanging="339"/>
        <w:jc w:val="both"/>
        <w:rPr>
          <w:rFonts w:cs="Calibri"/>
        </w:rPr>
      </w:pPr>
      <w:r w:rsidRPr="000973AC">
        <w:rPr>
          <w:rFonts w:cs="Calibri"/>
        </w:rPr>
        <w:t>Real Decreto Legislativo  2/2004, de  5  de marzo, Texto Refundido de la Ley Reguladora de las Haciendas Locales (TRLRHL)</w:t>
      </w:r>
    </w:p>
    <w:p w:rsidR="00D61051" w:rsidRPr="000973AC" w:rsidRDefault="00766F1F" w:rsidP="00885A81">
      <w:pPr>
        <w:numPr>
          <w:ilvl w:val="0"/>
          <w:numId w:val="3"/>
        </w:numPr>
        <w:tabs>
          <w:tab w:val="clear" w:pos="1920"/>
          <w:tab w:val="num" w:pos="851"/>
        </w:tabs>
        <w:spacing w:after="60" w:line="240" w:lineRule="auto"/>
        <w:ind w:left="851" w:hanging="339"/>
        <w:jc w:val="both"/>
        <w:rPr>
          <w:rStyle w:val="af-doc-l-nav-esp"/>
          <w:rFonts w:cs="Calibri"/>
        </w:rPr>
      </w:pPr>
      <w:r w:rsidRPr="000973AC">
        <w:rPr>
          <w:rStyle w:val="af-doc-l-nav-esp"/>
          <w:rFonts w:cs="Calibri"/>
        </w:rPr>
        <w:t>Orden HAP/2105/2012, de 1 de octubre, por la que se desarrollan las obligaciones de suministro de información previstas en la Ley Orgánica 2/2012, de 27 de abril, de Estabilidad Presupuesta</w:t>
      </w:r>
      <w:r w:rsidR="00B84A6F" w:rsidRPr="000973AC">
        <w:rPr>
          <w:rStyle w:val="af-doc-l-nav-esp"/>
          <w:rFonts w:cs="Calibri"/>
        </w:rPr>
        <w:t>ria y Sostenibilidad Financiera, modificada por la Orden HAP/2082/2014, de 7 de noviembre.</w:t>
      </w:r>
    </w:p>
    <w:p w:rsidR="00184C24" w:rsidRPr="000973AC" w:rsidRDefault="00184C24" w:rsidP="00885A81">
      <w:pPr>
        <w:numPr>
          <w:ilvl w:val="0"/>
          <w:numId w:val="3"/>
        </w:numPr>
        <w:tabs>
          <w:tab w:val="clear" w:pos="1920"/>
          <w:tab w:val="num" w:pos="851"/>
        </w:tabs>
        <w:spacing w:after="60" w:line="240" w:lineRule="auto"/>
        <w:ind w:left="851" w:hanging="339"/>
        <w:jc w:val="both"/>
        <w:rPr>
          <w:rStyle w:val="af-doc-l-nav-esp"/>
          <w:rFonts w:cs="Calibri"/>
        </w:rPr>
      </w:pPr>
      <w:r w:rsidRPr="000973AC">
        <w:rPr>
          <w:rFonts w:cs="Calibri"/>
        </w:rPr>
        <w:t>Reglamento nº 549/2013, del Parlamento Europeo y del Consejo, de 21 de mayo (DOCE. 26-06-2013), que aprueba el SEC 2010.</w:t>
      </w:r>
    </w:p>
    <w:p w:rsidR="00766F1F" w:rsidRPr="000973AC" w:rsidRDefault="00766F1F" w:rsidP="00A425D6">
      <w:pPr>
        <w:numPr>
          <w:ilvl w:val="0"/>
          <w:numId w:val="3"/>
        </w:numPr>
        <w:tabs>
          <w:tab w:val="clear" w:pos="1920"/>
          <w:tab w:val="num" w:pos="851"/>
        </w:tabs>
        <w:spacing w:after="120" w:line="240" w:lineRule="auto"/>
        <w:ind w:left="851" w:hanging="339"/>
        <w:jc w:val="both"/>
        <w:rPr>
          <w:rFonts w:cs="Calibri"/>
        </w:rPr>
      </w:pPr>
      <w:r w:rsidRPr="000973AC">
        <w:rPr>
          <w:rFonts w:cs="Calibri"/>
        </w:rPr>
        <w:t>Manual de cálculo del déficit en contabilidad nacional adaptado a las Corporaciones Locales, publicado por la IGAE.</w:t>
      </w:r>
    </w:p>
    <w:p w:rsidR="00885A81" w:rsidRPr="00885A81" w:rsidRDefault="00B3707A" w:rsidP="00A425D6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L</w:t>
      </w:r>
      <w:r w:rsidR="00885A81" w:rsidRPr="00885A81">
        <w:rPr>
          <w:sz w:val="22"/>
          <w:szCs w:val="22"/>
        </w:rPr>
        <w:t>as Reglas Fiscales (Estabilidad Presupuestaria, Regla de Gasto y Deuda Pública) han estado suspendidas durante cuatro años, concretamente, durante los ejercicios 2020, 2021, 2022 y 2023 por aplicación de la cláusula general de salvaguarda del Pacto de Estabilidad y Crecimiento, según decisión de la Comisión Europea motivada en la concurrencia de circunstancias excepcionales que lo justificaban (Pandemia Covid-19 y Guerra de Ucrania). Otros tantos acuerdos del Congreso de los Diputados han extrapolado esta medida a nivel nacional ante la constatación de que España estaba sufriendo una situación de emergencia extraordinaria que se ajustaba a lo dispuesto en el artículo 135.4 de la Constitución y el en artículo 11.3 de la Ley Orgánica 2/2012, de 27 de abril, de Estabilidad Presupuestaria y Sostenibilidad Financiera (LOEPSF), lo que para las Entidades Locales se ha traducido en que durante el período 2020-2023 las Entidades Locales no han estado obligadas a cumplir con los objetivos de estabilidad presupuestaria, deuda pública y regla de gasto.</w:t>
      </w:r>
    </w:p>
    <w:p w:rsidR="00885A81" w:rsidRPr="00885A81" w:rsidRDefault="00B3707A" w:rsidP="00B3707A">
      <w:pPr>
        <w:pStyle w:val="Default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85A81" w:rsidRPr="00885A81">
        <w:rPr>
          <w:sz w:val="22"/>
          <w:szCs w:val="22"/>
        </w:rPr>
        <w:t xml:space="preserve">Esta situación cambia para el año 2024 puesto que, según se ha anunciado desde diversas instancias comunitarias y estatales, la suspensión llega a su fin y las tres reglas fiscales cobrarán nuevamente vigencia. En consonancia con estos anuncios, el 12 de diciembre de 2023, el Consejo de </w:t>
      </w:r>
      <w:r w:rsidR="00885A81" w:rsidRPr="00885A81">
        <w:rPr>
          <w:sz w:val="22"/>
          <w:szCs w:val="22"/>
        </w:rPr>
        <w:lastRenderedPageBreak/>
        <w:t>Ministros ha adoptado un Acuerdo mediante el que se cuantifican los objetivos de estabilidad presupuestaria y deuda pública para las Entidades Locales en los términos que se detallan seguidamente:</w:t>
      </w:r>
    </w:p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1037"/>
        <w:gridCol w:w="1276"/>
      </w:tblGrid>
      <w:tr w:rsidR="00885A81" w:rsidRPr="00885A81" w:rsidTr="00B3707A">
        <w:tc>
          <w:tcPr>
            <w:tcW w:w="4111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B3707A" w:rsidRDefault="00885A81" w:rsidP="00885A8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3707A">
              <w:rPr>
                <w:b/>
                <w:sz w:val="22"/>
                <w:szCs w:val="22"/>
              </w:rPr>
              <w:t>Objetivos</w:t>
            </w:r>
          </w:p>
        </w:tc>
        <w:tc>
          <w:tcPr>
            <w:tcW w:w="1276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B3707A" w:rsidRDefault="00885A81" w:rsidP="008351D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3707A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037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B3707A" w:rsidRDefault="00885A81" w:rsidP="008351D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3707A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B3707A" w:rsidRDefault="00885A81" w:rsidP="008351D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3707A">
              <w:rPr>
                <w:b/>
                <w:sz w:val="22"/>
                <w:szCs w:val="22"/>
              </w:rPr>
              <w:t>2026</w:t>
            </w:r>
          </w:p>
        </w:tc>
      </w:tr>
      <w:tr w:rsidR="00885A81" w:rsidRPr="00885A81" w:rsidTr="00B3707A">
        <w:tc>
          <w:tcPr>
            <w:tcW w:w="4111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B3707A" w:rsidRDefault="00885A81" w:rsidP="00885A8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3707A">
              <w:rPr>
                <w:b/>
                <w:sz w:val="22"/>
                <w:szCs w:val="22"/>
              </w:rPr>
              <w:t>Estabilidad Presupuestaria</w:t>
            </w:r>
          </w:p>
        </w:tc>
        <w:tc>
          <w:tcPr>
            <w:tcW w:w="1276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885A81" w:rsidRDefault="00885A81" w:rsidP="008351D3">
            <w:pPr>
              <w:pStyle w:val="Default"/>
              <w:jc w:val="center"/>
              <w:rPr>
                <w:sz w:val="22"/>
                <w:szCs w:val="22"/>
              </w:rPr>
            </w:pPr>
            <w:r w:rsidRPr="00885A81">
              <w:rPr>
                <w:sz w:val="22"/>
                <w:szCs w:val="22"/>
              </w:rPr>
              <w:t>0,0</w:t>
            </w:r>
          </w:p>
        </w:tc>
        <w:tc>
          <w:tcPr>
            <w:tcW w:w="1037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885A81" w:rsidRDefault="00885A81" w:rsidP="008351D3">
            <w:pPr>
              <w:pStyle w:val="Default"/>
              <w:jc w:val="center"/>
              <w:rPr>
                <w:sz w:val="22"/>
                <w:szCs w:val="22"/>
              </w:rPr>
            </w:pPr>
            <w:r w:rsidRPr="00885A8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885A81" w:rsidRDefault="00885A81" w:rsidP="008351D3">
            <w:pPr>
              <w:pStyle w:val="Default"/>
              <w:jc w:val="center"/>
              <w:rPr>
                <w:sz w:val="22"/>
                <w:szCs w:val="22"/>
              </w:rPr>
            </w:pPr>
            <w:r w:rsidRPr="00885A81">
              <w:rPr>
                <w:sz w:val="22"/>
                <w:szCs w:val="22"/>
              </w:rPr>
              <w:t>0,0</w:t>
            </w:r>
          </w:p>
        </w:tc>
      </w:tr>
      <w:tr w:rsidR="00885A81" w:rsidRPr="00885A81" w:rsidTr="00B3707A">
        <w:tc>
          <w:tcPr>
            <w:tcW w:w="4111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B3707A" w:rsidRDefault="00885A81" w:rsidP="00885A8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3707A">
              <w:rPr>
                <w:b/>
                <w:sz w:val="22"/>
                <w:szCs w:val="22"/>
              </w:rPr>
              <w:t>Deuda Pública</w:t>
            </w:r>
          </w:p>
        </w:tc>
        <w:tc>
          <w:tcPr>
            <w:tcW w:w="1276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885A81" w:rsidRDefault="00885A81" w:rsidP="008351D3">
            <w:pPr>
              <w:pStyle w:val="Default"/>
              <w:jc w:val="center"/>
              <w:rPr>
                <w:sz w:val="22"/>
                <w:szCs w:val="22"/>
              </w:rPr>
            </w:pPr>
            <w:r w:rsidRPr="00885A81">
              <w:rPr>
                <w:sz w:val="22"/>
                <w:szCs w:val="22"/>
              </w:rPr>
              <w:t>1,4%</w:t>
            </w:r>
          </w:p>
        </w:tc>
        <w:tc>
          <w:tcPr>
            <w:tcW w:w="1037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885A81" w:rsidRDefault="00885A81" w:rsidP="008351D3">
            <w:pPr>
              <w:pStyle w:val="Default"/>
              <w:jc w:val="center"/>
              <w:rPr>
                <w:sz w:val="22"/>
                <w:szCs w:val="22"/>
              </w:rPr>
            </w:pPr>
            <w:r w:rsidRPr="00885A81">
              <w:rPr>
                <w:sz w:val="22"/>
                <w:szCs w:val="22"/>
              </w:rPr>
              <w:t>1,3%</w:t>
            </w:r>
          </w:p>
        </w:tc>
        <w:tc>
          <w:tcPr>
            <w:tcW w:w="1276" w:type="dxa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85A81" w:rsidRPr="00885A81" w:rsidRDefault="00885A81" w:rsidP="008351D3">
            <w:pPr>
              <w:pStyle w:val="Default"/>
              <w:jc w:val="center"/>
              <w:rPr>
                <w:sz w:val="22"/>
                <w:szCs w:val="22"/>
              </w:rPr>
            </w:pPr>
            <w:r w:rsidRPr="00885A81">
              <w:rPr>
                <w:sz w:val="22"/>
                <w:szCs w:val="22"/>
              </w:rPr>
              <w:t>1,3%</w:t>
            </w:r>
          </w:p>
        </w:tc>
      </w:tr>
    </w:tbl>
    <w:p w:rsidR="00885A81" w:rsidRPr="00885A81" w:rsidRDefault="00885A81" w:rsidP="00885A81">
      <w:pPr>
        <w:pStyle w:val="Default"/>
        <w:jc w:val="both"/>
        <w:rPr>
          <w:sz w:val="22"/>
          <w:szCs w:val="22"/>
        </w:rPr>
      </w:pPr>
    </w:p>
    <w:p w:rsidR="00885A81" w:rsidRPr="00885A81" w:rsidRDefault="00B3707A" w:rsidP="00A425D6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85A81" w:rsidRPr="00885A81">
        <w:rPr>
          <w:sz w:val="22"/>
          <w:szCs w:val="22"/>
        </w:rPr>
        <w:t>E</w:t>
      </w:r>
      <w:r>
        <w:rPr>
          <w:sz w:val="22"/>
          <w:szCs w:val="22"/>
        </w:rPr>
        <w:t>l tercero de los objetivos –la Regla de G</w:t>
      </w:r>
      <w:r w:rsidR="00885A81" w:rsidRPr="00885A81">
        <w:rPr>
          <w:sz w:val="22"/>
          <w:szCs w:val="22"/>
        </w:rPr>
        <w:t xml:space="preserve">asto-  aún tendrá que esperar para su concreción a la resolución que se adopte por el legislativo español. </w:t>
      </w:r>
    </w:p>
    <w:p w:rsidR="00E365AD" w:rsidRDefault="005349F0" w:rsidP="00AC01D3">
      <w:pPr>
        <w:pStyle w:val="Prrafode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="Calibri"/>
          <w:b/>
        </w:rPr>
      </w:pPr>
      <w:r>
        <w:rPr>
          <w:rFonts w:cs="Calibri"/>
        </w:rPr>
        <w:tab/>
      </w:r>
      <w:r w:rsidR="00B920FB" w:rsidRPr="003A304D">
        <w:rPr>
          <w:rFonts w:cs="Calibri"/>
        </w:rPr>
        <w:t xml:space="preserve">Por tanto, </w:t>
      </w:r>
      <w:r w:rsidR="00B920FB" w:rsidRPr="003A304D">
        <w:rPr>
          <w:rFonts w:cs="Calibri"/>
          <w:b/>
        </w:rPr>
        <w:t xml:space="preserve">en el ejercicio </w:t>
      </w:r>
      <w:r w:rsidR="00B920FB" w:rsidRPr="003A304D">
        <w:rPr>
          <w:rFonts w:cs="Calibri"/>
          <w:b/>
          <w:color w:val="0000FF"/>
        </w:rPr>
        <w:t>202</w:t>
      </w:r>
      <w:r w:rsidR="00F01F6B">
        <w:rPr>
          <w:rFonts w:cs="Calibri"/>
          <w:b/>
          <w:color w:val="0000FF"/>
        </w:rPr>
        <w:t>4</w:t>
      </w:r>
      <w:r w:rsidR="00AC01D3">
        <w:rPr>
          <w:rFonts w:cs="Calibri"/>
          <w:b/>
          <w:color w:val="0000FF"/>
        </w:rPr>
        <w:t xml:space="preserve">, </w:t>
      </w:r>
      <w:r w:rsidR="00B07502">
        <w:rPr>
          <w:rFonts w:cs="Calibri"/>
          <w:b/>
        </w:rPr>
        <w:t xml:space="preserve">a causa de la </w:t>
      </w:r>
      <w:r w:rsidR="00E365AD">
        <w:rPr>
          <w:rFonts w:cs="Calibri"/>
          <w:b/>
        </w:rPr>
        <w:t>reactivación de las reglas fiscales</w:t>
      </w:r>
      <w:r>
        <w:rPr>
          <w:rFonts w:cs="Calibri"/>
          <w:b/>
        </w:rPr>
        <w:t xml:space="preserve"> en esta fase de aprobación del presupuesto</w:t>
      </w:r>
      <w:r w:rsidR="00E365AD">
        <w:rPr>
          <w:rFonts w:cs="Calibri"/>
          <w:b/>
        </w:rPr>
        <w:t>:</w:t>
      </w:r>
    </w:p>
    <w:p w:rsidR="00E365AD" w:rsidRPr="00E365AD" w:rsidRDefault="00E365AD" w:rsidP="00ED043D">
      <w:pPr>
        <w:pStyle w:val="Textoindependiente21"/>
        <w:numPr>
          <w:ilvl w:val="0"/>
          <w:numId w:val="27"/>
        </w:numPr>
        <w:spacing w:after="120"/>
        <w:ind w:left="993" w:right="113" w:hanging="284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D</w:t>
      </w:r>
      <w:r w:rsidRPr="00E365AD">
        <w:rPr>
          <w:rFonts w:asciiTheme="minorHAnsi" w:hAnsiTheme="minorHAnsi" w:cstheme="minorHAnsi"/>
          <w:sz w:val="22"/>
          <w:szCs w:val="22"/>
          <w:lang w:val="es-ES"/>
        </w:rPr>
        <w:t>ebe</w:t>
      </w:r>
      <w:r>
        <w:rPr>
          <w:rFonts w:asciiTheme="minorHAnsi" w:hAnsiTheme="minorHAnsi" w:cstheme="minorHAnsi"/>
          <w:sz w:val="22"/>
          <w:szCs w:val="22"/>
          <w:lang w:val="es-ES"/>
        </w:rPr>
        <w:t>n</w:t>
      </w:r>
      <w:r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evaluarse </w:t>
      </w:r>
      <w:r>
        <w:rPr>
          <w:rFonts w:asciiTheme="minorHAnsi" w:hAnsiTheme="minorHAnsi" w:cstheme="minorHAnsi"/>
          <w:sz w:val="22"/>
          <w:szCs w:val="22"/>
          <w:lang w:val="es-ES"/>
        </w:rPr>
        <w:t>el objetivo de</w:t>
      </w:r>
      <w:r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 estabilidad presupuestaria (capacidad/necesidad de financiación en términos de contabilidad nacional) y el nivel de deuda.</w:t>
      </w:r>
    </w:p>
    <w:p w:rsidR="00FB50BB" w:rsidRPr="00FB50BB" w:rsidRDefault="00E365AD" w:rsidP="00ED043D">
      <w:pPr>
        <w:pStyle w:val="Textoindependiente21"/>
        <w:numPr>
          <w:ilvl w:val="0"/>
          <w:numId w:val="27"/>
        </w:numPr>
        <w:spacing w:after="120"/>
        <w:ind w:left="993" w:right="113" w:hanging="284"/>
        <w:rPr>
          <w:rFonts w:asciiTheme="minorHAnsi" w:hAnsiTheme="minorHAnsi" w:cstheme="minorHAnsi"/>
          <w:sz w:val="22"/>
          <w:szCs w:val="22"/>
          <w:lang w:val="es-ES"/>
        </w:rPr>
      </w:pPr>
      <w:r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Respecto a la Regla de Gasto, </w:t>
      </w:r>
      <w:r w:rsidR="005349F0">
        <w:rPr>
          <w:rFonts w:asciiTheme="minorHAnsi" w:hAnsiTheme="minorHAnsi" w:cstheme="minorHAnsi"/>
          <w:sz w:val="22"/>
          <w:szCs w:val="22"/>
          <w:lang w:val="es-ES"/>
        </w:rPr>
        <w:t xml:space="preserve">en esta fase </w:t>
      </w:r>
      <w:r w:rsidRPr="00E365AD">
        <w:rPr>
          <w:rFonts w:asciiTheme="minorHAnsi" w:hAnsiTheme="minorHAnsi" w:cstheme="minorHAnsi"/>
          <w:sz w:val="22"/>
          <w:szCs w:val="22"/>
          <w:lang w:val="es-ES"/>
        </w:rPr>
        <w:t xml:space="preserve">no es </w:t>
      </w:r>
      <w:r w:rsidR="00FB50BB" w:rsidRPr="00FB50BB">
        <w:rPr>
          <w:rFonts w:asciiTheme="minorHAnsi" w:hAnsiTheme="minorHAnsi" w:cstheme="minorHAnsi"/>
          <w:sz w:val="22"/>
          <w:szCs w:val="22"/>
          <w:lang w:val="es-ES"/>
        </w:rPr>
        <w:t xml:space="preserve">obligatoria </w:t>
      </w:r>
      <w:r w:rsidR="005349F0">
        <w:rPr>
          <w:rFonts w:asciiTheme="minorHAnsi" w:hAnsiTheme="minorHAnsi" w:cstheme="minorHAnsi"/>
          <w:sz w:val="22"/>
          <w:szCs w:val="22"/>
          <w:lang w:val="es-ES"/>
        </w:rPr>
        <w:t>ni su valoración</w:t>
      </w:r>
      <w:r w:rsidR="007803F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FB50BB" w:rsidRPr="00FB50BB">
        <w:rPr>
          <w:rFonts w:asciiTheme="minorHAnsi" w:hAnsiTheme="minorHAnsi" w:cstheme="minorHAnsi"/>
          <w:sz w:val="22"/>
          <w:szCs w:val="22"/>
          <w:lang w:val="es-ES"/>
        </w:rPr>
        <w:t>por la Intervención Local</w:t>
      </w:r>
      <w:r w:rsidR="005349F0">
        <w:rPr>
          <w:rFonts w:asciiTheme="minorHAnsi" w:hAnsiTheme="minorHAnsi" w:cstheme="minorHAnsi"/>
          <w:sz w:val="22"/>
          <w:szCs w:val="22"/>
          <w:lang w:val="es-ES"/>
        </w:rPr>
        <w:t xml:space="preserve"> ni </w:t>
      </w:r>
      <w:r w:rsidRPr="00E365AD">
        <w:rPr>
          <w:rFonts w:asciiTheme="minorHAnsi" w:hAnsiTheme="minorHAnsi" w:cstheme="minorHAnsi"/>
          <w:sz w:val="22"/>
          <w:szCs w:val="22"/>
          <w:lang w:val="es-ES"/>
        </w:rPr>
        <w:t>su remisión al Ministerio de Hacienda</w:t>
      </w:r>
      <w:r w:rsidR="005349F0">
        <w:rPr>
          <w:rFonts w:asciiTheme="minorHAnsi" w:hAnsiTheme="minorHAnsi" w:cstheme="minorHAnsi"/>
          <w:sz w:val="22"/>
          <w:szCs w:val="22"/>
          <w:lang w:val="es-ES"/>
        </w:rPr>
        <w:t xml:space="preserve"> y Función Pública; ambas obligaciones, por el contrario, sí que deberán cumplirse con motivo de la Liquidación. Es</w:t>
      </w:r>
      <w:r w:rsidR="00FB50BB" w:rsidRPr="00FB50BB">
        <w:rPr>
          <w:rFonts w:asciiTheme="minorHAnsi" w:hAnsiTheme="minorHAnsi" w:cstheme="minorHAnsi"/>
          <w:sz w:val="22"/>
          <w:szCs w:val="22"/>
          <w:lang w:val="es-ES"/>
        </w:rPr>
        <w:t>ta exención es consecuencia de la modificación de la Orden HAP/2105/2012, de 1 de octubre, por la que se desarrollan las obligaciones de suministro de información previstas en la LOEPSF</w:t>
      </w:r>
      <w:r w:rsidR="007803FA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="00FB50BB" w:rsidRPr="00FB50BB">
        <w:rPr>
          <w:rFonts w:asciiTheme="minorHAnsi" w:hAnsiTheme="minorHAnsi" w:cstheme="minorHAnsi"/>
          <w:sz w:val="22"/>
          <w:szCs w:val="22"/>
          <w:lang w:val="es-ES"/>
        </w:rPr>
        <w:t>mediante la Orden HAP/2082/2014, de 7 de noviembre y, concretamente, de la</w:t>
      </w:r>
      <w:r w:rsidR="005A4085">
        <w:rPr>
          <w:rFonts w:asciiTheme="minorHAnsi" w:hAnsiTheme="minorHAnsi" w:cstheme="minorHAnsi"/>
          <w:sz w:val="22"/>
          <w:szCs w:val="22"/>
          <w:lang w:val="es-ES"/>
        </w:rPr>
        <w:t xml:space="preserve"> reforma</w:t>
      </w:r>
      <w:r w:rsidR="00FB50BB" w:rsidRPr="00FB50BB">
        <w:rPr>
          <w:rFonts w:asciiTheme="minorHAnsi" w:hAnsiTheme="minorHAnsi" w:cstheme="minorHAnsi"/>
          <w:sz w:val="22"/>
          <w:szCs w:val="22"/>
          <w:lang w:val="es-ES"/>
        </w:rPr>
        <w:t xml:space="preserve"> de los artículos 15.3 c) y 16.4</w:t>
      </w:r>
      <w:r w:rsidR="007803FA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E365AD" w:rsidRPr="00E365AD" w:rsidRDefault="00E365AD" w:rsidP="00FB50BB">
      <w:pPr>
        <w:pStyle w:val="Textoindependiente21"/>
        <w:ind w:left="720" w:right="113" w:firstLine="0"/>
        <w:rPr>
          <w:rFonts w:asciiTheme="minorHAnsi" w:hAnsiTheme="minorHAnsi" w:cstheme="minorHAnsi"/>
          <w:sz w:val="22"/>
          <w:szCs w:val="22"/>
          <w:lang w:val="es-ES"/>
        </w:rPr>
      </w:pPr>
    </w:p>
    <w:p w:rsidR="00054C4E" w:rsidRPr="000973AC" w:rsidRDefault="004B768E" w:rsidP="004B768E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</w:rPr>
      </w:pPr>
      <w:r w:rsidRPr="000973AC">
        <w:rPr>
          <w:rFonts w:eastAsia="Calibri" w:cs="Calibri"/>
          <w:b/>
          <w:bCs/>
        </w:rPr>
        <w:t xml:space="preserve">2.- </w:t>
      </w:r>
      <w:r w:rsidR="0075229D">
        <w:rPr>
          <w:rFonts w:cs="Calibri"/>
          <w:b/>
        </w:rPr>
        <w:t>AMBITO SUBJETIVO. PERÍMETRO DE CONSOLIDACIÓ</w:t>
      </w:r>
      <w:r w:rsidR="00A53A68" w:rsidRPr="000973AC">
        <w:rPr>
          <w:rFonts w:cs="Calibri"/>
          <w:b/>
        </w:rPr>
        <w:t>N</w:t>
      </w:r>
    </w:p>
    <w:p w:rsidR="0058485A" w:rsidRDefault="0058485A" w:rsidP="008E3345">
      <w:pPr>
        <w:pStyle w:val="Textonotapie"/>
        <w:jc w:val="both"/>
        <w:rPr>
          <w:rFonts w:eastAsia="Calibri" w:cs="Calibri"/>
          <w:b/>
          <w:bCs/>
          <w:sz w:val="22"/>
          <w:szCs w:val="22"/>
        </w:rPr>
      </w:pPr>
    </w:p>
    <w:p w:rsidR="007F611E" w:rsidRPr="0029750D" w:rsidRDefault="0029750D" w:rsidP="00E73C7A">
      <w:pPr>
        <w:pStyle w:val="Textonotapie"/>
        <w:spacing w:after="120"/>
        <w:jc w:val="both"/>
        <w:rPr>
          <w:rFonts w:eastAsia="Calibri" w:cs="Calibri"/>
          <w:bCs/>
          <w:sz w:val="22"/>
          <w:szCs w:val="22"/>
        </w:rPr>
      </w:pPr>
      <w:r w:rsidRPr="0029750D">
        <w:rPr>
          <w:rFonts w:eastAsia="Calibri" w:cs="Calibri"/>
          <w:bCs/>
          <w:sz w:val="22"/>
          <w:szCs w:val="22"/>
        </w:rPr>
        <w:t>El ámbito subjeti</w:t>
      </w:r>
      <w:r w:rsidR="007F611E" w:rsidRPr="0029750D">
        <w:rPr>
          <w:rFonts w:eastAsia="Calibri" w:cs="Calibri"/>
          <w:bCs/>
          <w:sz w:val="22"/>
          <w:szCs w:val="22"/>
        </w:rPr>
        <w:t>vo del presente informe alcanza a:</w:t>
      </w:r>
    </w:p>
    <w:p w:rsidR="0029750D" w:rsidRPr="0029750D" w:rsidRDefault="0029750D" w:rsidP="0029750D">
      <w:pPr>
        <w:pStyle w:val="Textonotapie"/>
        <w:numPr>
          <w:ilvl w:val="0"/>
          <w:numId w:val="20"/>
        </w:numPr>
        <w:jc w:val="both"/>
        <w:rPr>
          <w:rFonts w:eastAsia="Calibri" w:cs="Calibri"/>
          <w:bCs/>
          <w:sz w:val="22"/>
          <w:szCs w:val="22"/>
        </w:rPr>
      </w:pPr>
      <w:r w:rsidRPr="0029750D">
        <w:rPr>
          <w:rFonts w:eastAsia="Calibri" w:cs="Calibri"/>
          <w:bCs/>
          <w:sz w:val="22"/>
          <w:szCs w:val="22"/>
        </w:rPr>
        <w:t>Ayuntamiento de___________________</w:t>
      </w:r>
      <w:r w:rsidR="005A4085">
        <w:rPr>
          <w:rFonts w:eastAsia="Calibri" w:cs="Calibri"/>
          <w:bCs/>
          <w:sz w:val="22"/>
          <w:szCs w:val="22"/>
        </w:rPr>
        <w:t xml:space="preserve"> </w:t>
      </w:r>
      <w:r w:rsidRPr="0029750D">
        <w:rPr>
          <w:rFonts w:eastAsia="Calibri" w:cs="Calibri"/>
          <w:bCs/>
          <w:sz w:val="22"/>
          <w:szCs w:val="22"/>
        </w:rPr>
        <w:t>(art 2.1.c.  LOEPSF)</w:t>
      </w:r>
    </w:p>
    <w:p w:rsidR="007F611E" w:rsidRPr="000973AC" w:rsidRDefault="007F611E" w:rsidP="008E3345">
      <w:pPr>
        <w:pStyle w:val="Textonotapie"/>
        <w:jc w:val="both"/>
        <w:rPr>
          <w:rFonts w:eastAsia="Calibri" w:cs="Calibri"/>
          <w:b/>
          <w:bCs/>
          <w:sz w:val="22"/>
          <w:szCs w:val="22"/>
        </w:rPr>
      </w:pPr>
    </w:p>
    <w:p w:rsidR="006352A0" w:rsidRPr="000973AC" w:rsidRDefault="006352A0" w:rsidP="00B84A6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F0457A" w:rsidRPr="000973AC" w:rsidRDefault="001960D4" w:rsidP="00E73C7A">
      <w:pPr>
        <w:autoSpaceDE w:val="0"/>
        <w:autoSpaceDN w:val="0"/>
        <w:adjustRightInd w:val="0"/>
        <w:spacing w:after="240" w:line="240" w:lineRule="auto"/>
        <w:jc w:val="both"/>
        <w:rPr>
          <w:rFonts w:cs="Calibri"/>
          <w:b/>
        </w:rPr>
      </w:pPr>
      <w:r w:rsidRPr="000973AC">
        <w:rPr>
          <w:rFonts w:cs="Calibri"/>
          <w:b/>
        </w:rPr>
        <w:t>3</w:t>
      </w:r>
      <w:r w:rsidR="0075229D">
        <w:rPr>
          <w:rFonts w:cs="Calibri"/>
          <w:b/>
        </w:rPr>
        <w:t>.- EVALUACIÓ</w:t>
      </w:r>
      <w:r w:rsidR="00B84A6F" w:rsidRPr="000973AC">
        <w:rPr>
          <w:rFonts w:cs="Calibri"/>
          <w:b/>
        </w:rPr>
        <w:t>N DE</w:t>
      </w:r>
      <w:r w:rsidR="00D43582">
        <w:rPr>
          <w:rFonts w:cs="Calibri"/>
          <w:b/>
        </w:rPr>
        <w:t xml:space="preserve"> LA </w:t>
      </w:r>
      <w:r w:rsidR="00B84A6F" w:rsidRPr="000973AC">
        <w:rPr>
          <w:rFonts w:cs="Calibri"/>
          <w:b/>
        </w:rPr>
        <w:t xml:space="preserve"> </w:t>
      </w:r>
      <w:r w:rsidR="00F0457A" w:rsidRPr="000973AC">
        <w:rPr>
          <w:rFonts w:cs="Calibri"/>
          <w:b/>
        </w:rPr>
        <w:t>ESTABILIDAD PRESUPUESTARIA</w:t>
      </w:r>
    </w:p>
    <w:p w:rsidR="00017882" w:rsidRPr="000973AC" w:rsidRDefault="00AF6094" w:rsidP="00BF0685">
      <w:pPr>
        <w:spacing w:after="120" w:line="240" w:lineRule="auto"/>
        <w:jc w:val="both"/>
        <w:rPr>
          <w:rFonts w:cs="Calibri"/>
        </w:rPr>
      </w:pPr>
      <w:r w:rsidRPr="000973AC">
        <w:rPr>
          <w:rFonts w:cs="Calibri"/>
        </w:rPr>
        <w:t xml:space="preserve"> </w:t>
      </w:r>
      <w:r w:rsidR="00017882" w:rsidRPr="000973AC">
        <w:rPr>
          <w:rFonts w:cs="Calibri"/>
        </w:rPr>
        <w:tab/>
      </w:r>
      <w:r w:rsidR="00F0457A" w:rsidRPr="000973AC">
        <w:rPr>
          <w:rFonts w:cs="Calibri"/>
        </w:rPr>
        <w:t xml:space="preserve">El artículo 11.4 LOEPSF </w:t>
      </w:r>
      <w:r w:rsidRPr="000973AC">
        <w:rPr>
          <w:rFonts w:cs="Calibri"/>
        </w:rPr>
        <w:t xml:space="preserve">dispone </w:t>
      </w:r>
      <w:r w:rsidR="00F0457A" w:rsidRPr="000973AC">
        <w:rPr>
          <w:rFonts w:cs="Calibri"/>
        </w:rPr>
        <w:t>que “Las Corporaciones Locales deberán mantener una posición de equilibrio o superávit presupuestario”.</w:t>
      </w:r>
    </w:p>
    <w:p w:rsidR="00663731" w:rsidRPr="000973AC" w:rsidRDefault="00017882" w:rsidP="00BF0685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0973AC">
        <w:rPr>
          <w:rFonts w:cs="Calibri"/>
        </w:rPr>
        <w:tab/>
      </w:r>
      <w:r w:rsidR="00F0457A" w:rsidRPr="000973AC">
        <w:rPr>
          <w:rFonts w:cs="Calibri"/>
        </w:rPr>
        <w:t xml:space="preserve"> </w:t>
      </w:r>
      <w:r w:rsidR="006352A0" w:rsidRPr="000973AC">
        <w:rPr>
          <w:rFonts w:eastAsia="Calibri" w:cs="Calibri"/>
          <w:lang w:eastAsia="es-ES"/>
        </w:rPr>
        <w:t xml:space="preserve">Para las Corporaciones Locales (artículo 2.1 de la LOEPSF), se cumple </w:t>
      </w:r>
      <w:r w:rsidR="00F57C1C">
        <w:rPr>
          <w:rFonts w:eastAsia="Calibri" w:cs="Calibri"/>
          <w:lang w:eastAsia="es-ES"/>
        </w:rPr>
        <w:t xml:space="preserve">la </w:t>
      </w:r>
      <w:r w:rsidR="006352A0" w:rsidRPr="000973AC">
        <w:rPr>
          <w:rFonts w:eastAsia="Calibri" w:cs="Calibri"/>
          <w:lang w:eastAsia="es-ES"/>
        </w:rPr>
        <w:t>estabilidad presupuestaria, si el conjunto de los presupuestos y estados financieros iniciales de las entidades clasificadas como administraciones públicas que integran la Corporación Local, presenta equilibrio o superávit, en términos de capacidad de financiación, de acuerdo con la definición contenida en el Sistema Europeo de Cuentas.</w:t>
      </w:r>
    </w:p>
    <w:p w:rsidR="00017882" w:rsidRPr="000973AC" w:rsidRDefault="00017882" w:rsidP="00BF0685">
      <w:pPr>
        <w:shd w:val="clear" w:color="auto" w:fill="FFFFFF"/>
        <w:spacing w:after="120" w:line="240" w:lineRule="auto"/>
        <w:jc w:val="both"/>
        <w:rPr>
          <w:rFonts w:cs="Calibri"/>
        </w:rPr>
      </w:pPr>
      <w:r w:rsidRPr="000973AC">
        <w:rPr>
          <w:rFonts w:cs="Calibri"/>
        </w:rPr>
        <w:tab/>
      </w:r>
      <w:r w:rsidR="005927A8" w:rsidRPr="000973AC">
        <w:rPr>
          <w:rFonts w:cs="Calibri"/>
        </w:rPr>
        <w:t>En la elaboración del Presupuesto, e</w:t>
      </w:r>
      <w:r w:rsidR="00B76A1B" w:rsidRPr="000973AC">
        <w:rPr>
          <w:rFonts w:cs="Calibri"/>
        </w:rPr>
        <w:t>l cálculo de la capacidad o</w:t>
      </w:r>
      <w:r w:rsidR="00980943" w:rsidRPr="000973AC">
        <w:rPr>
          <w:rFonts w:cs="Calibri"/>
        </w:rPr>
        <w:t xml:space="preserve"> necesidad de financiación </w:t>
      </w:r>
      <w:r w:rsidR="009128A3" w:rsidRPr="000973AC">
        <w:rPr>
          <w:rFonts w:cs="Calibri"/>
        </w:rPr>
        <w:t>para Entidades sometidas a Presupuesto Limitativo/Contabilidad Pública</w:t>
      </w:r>
      <w:r w:rsidR="005927A8" w:rsidRPr="000973AC">
        <w:rPr>
          <w:rFonts w:cs="Calibri"/>
        </w:rPr>
        <w:t xml:space="preserve">, </w:t>
      </w:r>
      <w:r w:rsidR="00CC40C3" w:rsidRPr="000973AC">
        <w:rPr>
          <w:rFonts w:cs="Calibri"/>
        </w:rPr>
        <w:t xml:space="preserve">se obtiene por la diferencia </w:t>
      </w:r>
      <w:r w:rsidR="005927A8" w:rsidRPr="000973AC">
        <w:rPr>
          <w:rFonts w:cs="Calibri"/>
        </w:rPr>
        <w:t>entre los</w:t>
      </w:r>
      <w:r w:rsidR="002A3581" w:rsidRPr="002A3581">
        <w:t xml:space="preserve"> </w:t>
      </w:r>
      <w:r w:rsidR="002A3581">
        <w:t>importes presupuestados en los capítulos 1 a 7 de los estados de ingresos y los capítulos 1 a 7 del estado de gastos</w:t>
      </w:r>
      <w:r w:rsidR="00BF3636" w:rsidRPr="000973AC">
        <w:rPr>
          <w:rFonts w:cs="Calibri"/>
          <w:color w:val="000000"/>
          <w:lang w:eastAsia="es-ES"/>
        </w:rPr>
        <w:t xml:space="preserve">, y mediante </w:t>
      </w:r>
      <w:r w:rsidR="00BF3636" w:rsidRPr="000973AC">
        <w:rPr>
          <w:rFonts w:cs="Calibri"/>
        </w:rPr>
        <w:t>los oportunos ajustes de contabilidad nacional.</w:t>
      </w:r>
      <w:r w:rsidR="009D699F" w:rsidRPr="000973AC">
        <w:rPr>
          <w:rFonts w:cs="Calibri"/>
        </w:rPr>
        <w:t xml:space="preserve"> </w:t>
      </w:r>
      <w:r w:rsidR="00BF3636" w:rsidRPr="000973AC">
        <w:rPr>
          <w:rFonts w:cs="Calibri"/>
          <w:color w:val="000000"/>
          <w:lang w:eastAsia="es-ES"/>
        </w:rPr>
        <w:t>D</w:t>
      </w:r>
      <w:r w:rsidR="00172C1A" w:rsidRPr="000973AC">
        <w:rPr>
          <w:rFonts w:cs="Calibri"/>
        </w:rPr>
        <w:t>ebido a la diferencia de criterios entre el Sistema Europeo de Cuentas Nacionales y Regionales</w:t>
      </w:r>
      <w:r w:rsidR="009D699F" w:rsidRPr="000973AC">
        <w:rPr>
          <w:rFonts w:cs="Calibri"/>
        </w:rPr>
        <w:t xml:space="preserve"> </w:t>
      </w:r>
      <w:r w:rsidR="00172C1A" w:rsidRPr="000973AC">
        <w:rPr>
          <w:rFonts w:cs="Calibri"/>
        </w:rPr>
        <w:t>(SEC</w:t>
      </w:r>
      <w:r w:rsidR="002F7874" w:rsidRPr="000973AC">
        <w:rPr>
          <w:rFonts w:cs="Calibri"/>
        </w:rPr>
        <w:t>-10</w:t>
      </w:r>
      <w:r w:rsidR="00172C1A" w:rsidRPr="000973AC">
        <w:rPr>
          <w:rFonts w:cs="Calibri"/>
        </w:rPr>
        <w:t>) y la contabilidad</w:t>
      </w:r>
      <w:r w:rsidR="006B0CD7">
        <w:rPr>
          <w:rFonts w:cs="Calibri"/>
        </w:rPr>
        <w:t xml:space="preserve"> </w:t>
      </w:r>
      <w:r w:rsidR="00F0457A" w:rsidRPr="000973AC">
        <w:rPr>
          <w:rFonts w:cs="Calibri"/>
        </w:rPr>
        <w:t>presupuestaria</w:t>
      </w:r>
      <w:r w:rsidR="00172C1A" w:rsidRPr="000973AC">
        <w:rPr>
          <w:rFonts w:cs="Calibri"/>
        </w:rPr>
        <w:t xml:space="preserve">, es preciso realizar una serie de ajustes, siguiendo el </w:t>
      </w:r>
      <w:r w:rsidR="00172C1A" w:rsidRPr="000973AC">
        <w:rPr>
          <w:rFonts w:cs="Calibri"/>
          <w:i/>
        </w:rPr>
        <w:t xml:space="preserve">“Manual de </w:t>
      </w:r>
      <w:r w:rsidR="00B84A6F" w:rsidRPr="000973AC">
        <w:rPr>
          <w:rFonts w:cs="Calibri"/>
          <w:i/>
        </w:rPr>
        <w:t>cálculo</w:t>
      </w:r>
      <w:r w:rsidR="00172C1A" w:rsidRPr="000973AC">
        <w:rPr>
          <w:rFonts w:cs="Calibri"/>
          <w:i/>
        </w:rPr>
        <w:t xml:space="preserve"> del déficit  en contabilidad nacional adaptado a las Corporaciones Locales” </w:t>
      </w:r>
      <w:r w:rsidR="00172C1A" w:rsidRPr="000973AC">
        <w:rPr>
          <w:rFonts w:cs="Calibri"/>
        </w:rPr>
        <w:t>elaborado por la IGAE.</w:t>
      </w:r>
      <w:r w:rsidR="00702235" w:rsidRPr="000973AC">
        <w:rPr>
          <w:rFonts w:cs="Calibri"/>
        </w:rPr>
        <w:t xml:space="preserve"> </w:t>
      </w:r>
    </w:p>
    <w:p w:rsidR="00FD1622" w:rsidRPr="000973AC" w:rsidRDefault="009D699F" w:rsidP="009D699F">
      <w:pPr>
        <w:shd w:val="clear" w:color="auto" w:fill="FFFFFF"/>
        <w:jc w:val="both"/>
        <w:rPr>
          <w:rFonts w:cs="Calibri"/>
        </w:rPr>
      </w:pPr>
      <w:r w:rsidRPr="000973AC">
        <w:rPr>
          <w:rFonts w:cs="Calibri"/>
        </w:rPr>
        <w:lastRenderedPageBreak/>
        <w:tab/>
        <w:t>A continuación se relacionan los ajustes efectuados y los correlativos resultados sobre la capacidad o necesidad de financiación.</w:t>
      </w:r>
    </w:p>
    <w:p w:rsidR="00AD2ED1" w:rsidRPr="000973AC" w:rsidRDefault="00F0457A" w:rsidP="00AD2ED1">
      <w:pPr>
        <w:spacing w:after="0" w:line="240" w:lineRule="auto"/>
        <w:jc w:val="center"/>
        <w:rPr>
          <w:rFonts w:cs="Calibri"/>
        </w:rPr>
      </w:pPr>
      <w:r w:rsidRPr="000973AC">
        <w:rPr>
          <w:rFonts w:cs="Calibri"/>
          <w:b/>
          <w:color w:val="0000FF"/>
        </w:rPr>
        <w:t>AJUSTES</w:t>
      </w:r>
      <w:r w:rsidR="00364FE5" w:rsidRPr="000973AC">
        <w:rPr>
          <w:rFonts w:cs="Calibri"/>
          <w:b/>
          <w:color w:val="0000FF"/>
        </w:rPr>
        <w:t xml:space="preserve"> SEC</w:t>
      </w:r>
      <w:r w:rsidRPr="000973AC">
        <w:rPr>
          <w:rFonts w:cs="Calibri"/>
        </w:rPr>
        <w:t xml:space="preserve"> </w:t>
      </w:r>
    </w:p>
    <w:p w:rsidR="00AD2ED1" w:rsidRPr="000973AC" w:rsidRDefault="00AD2ED1" w:rsidP="00AD2ED1">
      <w:pPr>
        <w:spacing w:after="0" w:line="240" w:lineRule="auto"/>
        <w:jc w:val="center"/>
        <w:rPr>
          <w:rFonts w:cs="Calibri"/>
        </w:rPr>
      </w:pPr>
    </w:p>
    <w:p w:rsidR="00F0457A" w:rsidRPr="00A93F5A" w:rsidRDefault="00F0457A" w:rsidP="00AD2ED1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A93F5A">
        <w:rPr>
          <w:rFonts w:cs="Calibri"/>
          <w:i/>
          <w:sz w:val="20"/>
          <w:szCs w:val="20"/>
          <w:highlight w:val="lightGray"/>
        </w:rPr>
        <w:t>(</w:t>
      </w:r>
      <w:r w:rsidR="006F0545" w:rsidRPr="00A93F5A">
        <w:rPr>
          <w:rFonts w:cs="Calibri"/>
          <w:i/>
          <w:sz w:val="20"/>
          <w:szCs w:val="20"/>
          <w:highlight w:val="lightGray"/>
        </w:rPr>
        <w:t xml:space="preserve">NOTA: </w:t>
      </w:r>
      <w:r w:rsidR="0003300C" w:rsidRPr="00A93F5A">
        <w:rPr>
          <w:rFonts w:cs="Calibri"/>
          <w:i/>
          <w:sz w:val="20"/>
          <w:szCs w:val="20"/>
          <w:highlight w:val="lightGray"/>
        </w:rPr>
        <w:t>E</w:t>
      </w:r>
      <w:r w:rsidR="002F7874" w:rsidRPr="00A93F5A">
        <w:rPr>
          <w:rFonts w:cs="Calibri"/>
          <w:i/>
          <w:sz w:val="20"/>
          <w:szCs w:val="20"/>
          <w:highlight w:val="lightGray"/>
        </w:rPr>
        <w:t xml:space="preserve">n este modelo nos limitamos a </w:t>
      </w:r>
      <w:r w:rsidRPr="00A93F5A">
        <w:rPr>
          <w:rFonts w:cs="Calibri"/>
          <w:i/>
          <w:sz w:val="20"/>
          <w:szCs w:val="20"/>
          <w:highlight w:val="lightGray"/>
        </w:rPr>
        <w:t xml:space="preserve">los más frecuentes. </w:t>
      </w:r>
      <w:r w:rsidR="002F7874" w:rsidRPr="00A93F5A">
        <w:rPr>
          <w:rFonts w:cs="Calibri"/>
          <w:i/>
          <w:sz w:val="20"/>
          <w:szCs w:val="20"/>
          <w:highlight w:val="lightGray"/>
        </w:rPr>
        <w:t>Para realizar otros ajustes c</w:t>
      </w:r>
      <w:r w:rsidRPr="00A93F5A">
        <w:rPr>
          <w:rFonts w:cs="Calibri"/>
          <w:i/>
          <w:sz w:val="20"/>
          <w:szCs w:val="20"/>
          <w:highlight w:val="lightGray"/>
        </w:rPr>
        <w:t>onsultar Manual de Cálculo del déficit en Contabilidad Nacional adaptado a las Corporaciones Locales, elaborado por la I.G.A.E</w:t>
      </w:r>
      <w:r w:rsidR="006F0545" w:rsidRPr="00A93F5A">
        <w:rPr>
          <w:rFonts w:cs="Calibri"/>
          <w:i/>
          <w:sz w:val="20"/>
          <w:szCs w:val="20"/>
          <w:highlight w:val="lightGray"/>
        </w:rPr>
        <w:t>)</w:t>
      </w:r>
    </w:p>
    <w:p w:rsidR="00D61051" w:rsidRPr="000973AC" w:rsidRDefault="00D61051" w:rsidP="00D61051">
      <w:pPr>
        <w:spacing w:after="0" w:line="240" w:lineRule="auto"/>
        <w:jc w:val="both"/>
        <w:rPr>
          <w:rFonts w:cs="Calibri"/>
          <w:i/>
        </w:rPr>
      </w:pPr>
    </w:p>
    <w:p w:rsidR="009910B6" w:rsidRPr="000973AC" w:rsidRDefault="009910B6" w:rsidP="009910B6">
      <w:pPr>
        <w:rPr>
          <w:rFonts w:cs="Calibri"/>
          <w:b/>
          <w:color w:val="0000FF"/>
          <w:u w:val="single"/>
        </w:rPr>
      </w:pPr>
      <w:r w:rsidRPr="000973AC">
        <w:rPr>
          <w:rFonts w:cs="Calibri"/>
          <w:b/>
          <w:color w:val="0000FF"/>
          <w:u w:val="single"/>
        </w:rPr>
        <w:t>En el Estado de Ingresos:</w:t>
      </w:r>
    </w:p>
    <w:p w:rsidR="009910B6" w:rsidRPr="000973AC" w:rsidRDefault="009910B6" w:rsidP="008F20B2">
      <w:pPr>
        <w:spacing w:after="120" w:line="240" w:lineRule="auto"/>
        <w:rPr>
          <w:rFonts w:cs="Calibri"/>
          <w:b/>
        </w:rPr>
      </w:pPr>
      <w:r w:rsidRPr="000973AC">
        <w:rPr>
          <w:rFonts w:cs="Calibri"/>
          <w:b/>
        </w:rPr>
        <w:t>● Ajuste por recaudación ingresos Cap.1, 2 y 3.</w:t>
      </w:r>
    </w:p>
    <w:p w:rsidR="00D61051" w:rsidRPr="000973AC" w:rsidRDefault="00D61051" w:rsidP="008F20B2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0973AC">
        <w:rPr>
          <w:rFonts w:cs="Calibri"/>
        </w:rPr>
        <w:tab/>
      </w:r>
      <w:r w:rsidR="00F70F83" w:rsidRPr="000973AC">
        <w:rPr>
          <w:rFonts w:cs="Calibri"/>
          <w:color w:val="222222"/>
          <w:shd w:val="clear" w:color="auto" w:fill="FFFFFF"/>
        </w:rPr>
        <w:t xml:space="preserve">El criterio en contabilidad </w:t>
      </w:r>
      <w:r w:rsidR="00B83BCE" w:rsidRPr="000973AC">
        <w:rPr>
          <w:rFonts w:cs="Calibri"/>
          <w:color w:val="222222"/>
          <w:shd w:val="clear" w:color="auto" w:fill="FFFFFF"/>
        </w:rPr>
        <w:t>nacional para</w:t>
      </w:r>
      <w:r w:rsidR="00F70F83" w:rsidRPr="000973AC">
        <w:rPr>
          <w:rFonts w:cs="Calibri"/>
          <w:color w:val="222222"/>
          <w:shd w:val="clear" w:color="auto" w:fill="FFFFFF"/>
        </w:rPr>
        <w:t xml:space="preserve"> la imputación de los ingresos fiscales y </w:t>
      </w:r>
      <w:r w:rsidR="005F76AA" w:rsidRPr="000973AC">
        <w:rPr>
          <w:rFonts w:cs="Calibri"/>
          <w:color w:val="222222"/>
          <w:shd w:val="clear" w:color="auto" w:fill="FFFFFF"/>
        </w:rPr>
        <w:t>asimilados,</w:t>
      </w:r>
      <w:r w:rsidR="00F70F83" w:rsidRPr="000973AC">
        <w:rPr>
          <w:rFonts w:cs="Calibri"/>
          <w:color w:val="222222"/>
          <w:shd w:val="clear" w:color="auto" w:fill="FFFFFF"/>
        </w:rPr>
        <w:t xml:space="preserve"> es el de caja</w:t>
      </w:r>
      <w:r w:rsidR="00B83BCE">
        <w:rPr>
          <w:rFonts w:cs="Calibri"/>
          <w:color w:val="222222"/>
          <w:shd w:val="clear" w:color="auto" w:fill="FFFFFF"/>
        </w:rPr>
        <w:t xml:space="preserve"> (</w:t>
      </w:r>
      <w:r w:rsidR="00915EF0">
        <w:rPr>
          <w:rFonts w:cs="Calibri"/>
        </w:rPr>
        <w:t xml:space="preserve">ingresos recaudados durante el ejercicio, </w:t>
      </w:r>
      <w:r w:rsidR="00B83BCE">
        <w:rPr>
          <w:rFonts w:cs="Calibri"/>
        </w:rPr>
        <w:t xml:space="preserve">tanto de ejercicio corriente como de cerrados) </w:t>
      </w:r>
    </w:p>
    <w:p w:rsidR="00B83BCE" w:rsidRPr="00B83BCE" w:rsidRDefault="00D61051" w:rsidP="00907B77">
      <w:pPr>
        <w:spacing w:after="120" w:line="240" w:lineRule="auto"/>
        <w:jc w:val="both"/>
        <w:rPr>
          <w:rFonts w:cs="Calibri"/>
          <w:color w:val="222222"/>
          <w:shd w:val="clear" w:color="auto" w:fill="FFFFFF"/>
        </w:rPr>
      </w:pPr>
      <w:r w:rsidRPr="000973AC">
        <w:rPr>
          <w:rFonts w:cs="Calibri"/>
        </w:rPr>
        <w:tab/>
      </w:r>
      <w:r w:rsidR="002D2D26" w:rsidRPr="00B83BCE">
        <w:rPr>
          <w:rFonts w:cs="Calibri"/>
          <w:color w:val="222222"/>
          <w:shd w:val="clear" w:color="auto" w:fill="FFFFFF"/>
        </w:rPr>
        <w:t xml:space="preserve">Mientras que en Presupuesto </w:t>
      </w:r>
      <w:r w:rsidR="00980D91" w:rsidRPr="00B83BCE">
        <w:rPr>
          <w:rFonts w:cs="Calibri"/>
          <w:color w:val="222222"/>
          <w:shd w:val="clear" w:color="auto" w:fill="FFFFFF"/>
        </w:rPr>
        <w:t xml:space="preserve">rige el criterio de devengo, </w:t>
      </w:r>
      <w:r w:rsidR="008E2711" w:rsidRPr="00B83BCE">
        <w:rPr>
          <w:rFonts w:cs="Calibri"/>
          <w:color w:val="222222"/>
          <w:shd w:val="clear" w:color="auto" w:fill="FFFFFF"/>
        </w:rPr>
        <w:t>estos ingresos se computan en el momento en que se reconoce el derecho, que puede ser previo o simultaneo al cob</w:t>
      </w:r>
      <w:r w:rsidR="00B83BCE" w:rsidRPr="00B83BCE">
        <w:rPr>
          <w:rFonts w:cs="Calibri"/>
          <w:color w:val="222222"/>
          <w:shd w:val="clear" w:color="auto" w:fill="FFFFFF"/>
        </w:rPr>
        <w:t>ro.</w:t>
      </w:r>
    </w:p>
    <w:p w:rsidR="00981569" w:rsidRPr="000973AC" w:rsidRDefault="00D61051" w:rsidP="00907B77">
      <w:pPr>
        <w:spacing w:after="120" w:line="240" w:lineRule="auto"/>
        <w:jc w:val="both"/>
        <w:rPr>
          <w:rFonts w:cs="Calibri"/>
        </w:rPr>
      </w:pPr>
      <w:r w:rsidRPr="000973AC">
        <w:rPr>
          <w:rFonts w:cs="Calibri"/>
        </w:rPr>
        <w:tab/>
      </w:r>
      <w:r w:rsidR="00981569" w:rsidRPr="000973AC">
        <w:rPr>
          <w:rFonts w:cs="Calibri"/>
        </w:rPr>
        <w:t xml:space="preserve">El ajuste correspondiente vendrá determinado por la diferencia entre las previsiones iniciales de los citados capítulos y la </w:t>
      </w:r>
      <w:r w:rsidR="00D725F1" w:rsidRPr="000973AC">
        <w:rPr>
          <w:rFonts w:cs="Calibri"/>
        </w:rPr>
        <w:t>estimación</w:t>
      </w:r>
      <w:r w:rsidR="00981569" w:rsidRPr="000973AC">
        <w:rPr>
          <w:rFonts w:cs="Calibri"/>
        </w:rPr>
        <w:t xml:space="preserve"> de recaudación total de dichos </w:t>
      </w:r>
      <w:r w:rsidR="00B83BCE" w:rsidRPr="000973AC">
        <w:rPr>
          <w:rFonts w:cs="Calibri"/>
        </w:rPr>
        <w:t>ingresos (</w:t>
      </w:r>
      <w:r w:rsidR="00D725F1" w:rsidRPr="000973AC">
        <w:rPr>
          <w:rFonts w:cs="Calibri"/>
        </w:rPr>
        <w:t>recaudación</w:t>
      </w:r>
      <w:r w:rsidR="00981569" w:rsidRPr="000973AC">
        <w:rPr>
          <w:rFonts w:cs="Calibri"/>
        </w:rPr>
        <w:t xml:space="preserve"> tanto de presupuesto corriente como de presupuestos cerrados)</w:t>
      </w:r>
      <w:r w:rsidRPr="000973AC">
        <w:rPr>
          <w:rFonts w:cs="Calibri"/>
        </w:rPr>
        <w:t>.</w:t>
      </w:r>
    </w:p>
    <w:p w:rsidR="00D11024" w:rsidRDefault="00D61051" w:rsidP="0031669C">
      <w:pPr>
        <w:spacing w:after="120" w:line="240" w:lineRule="auto"/>
        <w:jc w:val="both"/>
        <w:rPr>
          <w:rFonts w:cs="Calibri"/>
        </w:rPr>
      </w:pPr>
      <w:r w:rsidRPr="000973AC">
        <w:rPr>
          <w:rFonts w:cs="Calibri"/>
        </w:rPr>
        <w:tab/>
      </w:r>
      <w:r w:rsidR="00172C1A" w:rsidRPr="000973AC">
        <w:rPr>
          <w:rFonts w:cs="Calibri"/>
        </w:rPr>
        <w:t>Para ello obtendremos los porcentajes de recaudación (tomando la media de las tres últimas liquidaciones</w:t>
      </w:r>
      <w:r w:rsidR="00E15766">
        <w:rPr>
          <w:rFonts w:cs="Calibri"/>
        </w:rPr>
        <w:t xml:space="preserve">- </w:t>
      </w:r>
      <w:r w:rsidR="00DE385B" w:rsidRPr="00D5153F">
        <w:rPr>
          <w:rFonts w:cs="Calibri"/>
          <w:i/>
        </w:rPr>
        <w:t xml:space="preserve">de no disponer de la liquidación de </w:t>
      </w:r>
      <w:r w:rsidR="00DE385B" w:rsidRPr="00D5153F">
        <w:rPr>
          <w:rFonts w:cs="Calibri"/>
          <w:i/>
          <w:color w:val="0000FF"/>
        </w:rPr>
        <w:t>20</w:t>
      </w:r>
      <w:r w:rsidR="003A304D">
        <w:rPr>
          <w:rFonts w:cs="Calibri"/>
          <w:i/>
          <w:color w:val="0000FF"/>
        </w:rPr>
        <w:t>2</w:t>
      </w:r>
      <w:r w:rsidR="00901580">
        <w:rPr>
          <w:rFonts w:cs="Calibri"/>
          <w:i/>
          <w:color w:val="0000FF"/>
        </w:rPr>
        <w:t>3</w:t>
      </w:r>
      <w:r w:rsidR="00DE385B" w:rsidRPr="00D5153F">
        <w:rPr>
          <w:rFonts w:cs="Calibri"/>
          <w:i/>
        </w:rPr>
        <w:t>, se realizará una estimación</w:t>
      </w:r>
      <w:r w:rsidR="00E15766">
        <w:rPr>
          <w:rFonts w:cs="Calibri"/>
        </w:rPr>
        <w:t>-</w:t>
      </w:r>
      <w:r w:rsidR="00DE385B">
        <w:rPr>
          <w:rFonts w:cs="Calibri"/>
        </w:rPr>
        <w:t>)</w:t>
      </w:r>
      <w:r w:rsidR="00172C1A" w:rsidRPr="000973AC">
        <w:rPr>
          <w:rFonts w:cs="Calibri"/>
        </w:rPr>
        <w:t xml:space="preserve"> comparando los derechos recaudados (corrientes y cerrados) con las previsiones iniciales. Aplicando esos porcentajes de recaudación a las previsiones iniciales del </w:t>
      </w:r>
      <w:r w:rsidR="00B83BCE" w:rsidRPr="000973AC">
        <w:rPr>
          <w:rFonts w:cs="Calibri"/>
        </w:rPr>
        <w:t xml:space="preserve">presupuesto </w:t>
      </w:r>
      <w:r w:rsidR="00B83BCE" w:rsidRPr="003A304D">
        <w:rPr>
          <w:rFonts w:cs="Calibri"/>
          <w:color w:val="0000FF"/>
        </w:rPr>
        <w:t>202</w:t>
      </w:r>
      <w:r w:rsidR="00901580">
        <w:rPr>
          <w:rFonts w:cs="Calibri"/>
          <w:color w:val="0000FF"/>
        </w:rPr>
        <w:t>4</w:t>
      </w:r>
      <w:r w:rsidR="00D725F1" w:rsidRPr="000973AC">
        <w:rPr>
          <w:rFonts w:cs="Calibri"/>
        </w:rPr>
        <w:t xml:space="preserve"> </w:t>
      </w:r>
      <w:r w:rsidR="00172C1A" w:rsidRPr="000973AC">
        <w:rPr>
          <w:rFonts w:cs="Calibri"/>
        </w:rPr>
        <w:t xml:space="preserve">se realizan los siguientes ajustes: </w:t>
      </w:r>
    </w:p>
    <w:p w:rsidR="00D11024" w:rsidRDefault="00D11024" w:rsidP="006C17FC">
      <w:pPr>
        <w:spacing w:after="0" w:line="240" w:lineRule="auto"/>
        <w:jc w:val="both"/>
        <w:rPr>
          <w:rFonts w:cs="Calibri"/>
        </w:rPr>
      </w:pPr>
    </w:p>
    <w:p w:rsidR="00901B91" w:rsidRPr="000973AC" w:rsidRDefault="00901B91" w:rsidP="006C17FC">
      <w:pPr>
        <w:spacing w:after="0" w:line="240" w:lineRule="auto"/>
        <w:jc w:val="both"/>
        <w:rPr>
          <w:rFonts w:cs="Calibri"/>
        </w:rPr>
      </w:pPr>
    </w:p>
    <w:p w:rsidR="00C475D9" w:rsidRDefault="00C475D9" w:rsidP="001D2524">
      <w:pPr>
        <w:spacing w:after="0" w:line="240" w:lineRule="auto"/>
        <w:ind w:right="-285"/>
        <w:jc w:val="center"/>
        <w:rPr>
          <w:rFonts w:cs="Calibri"/>
          <w:b/>
          <w:sz w:val="20"/>
          <w:szCs w:val="20"/>
        </w:rPr>
      </w:pPr>
      <w:r w:rsidRPr="00A93F5A">
        <w:rPr>
          <w:rFonts w:cs="Calibri"/>
          <w:b/>
          <w:sz w:val="20"/>
          <w:szCs w:val="20"/>
          <w:highlight w:val="lightGray"/>
        </w:rPr>
        <w:t>(</w:t>
      </w:r>
      <w:r w:rsidR="00F9417F" w:rsidRPr="00A93F5A">
        <w:rPr>
          <w:rFonts w:cs="Calibri"/>
          <w:b/>
          <w:sz w:val="20"/>
          <w:szCs w:val="20"/>
          <w:highlight w:val="lightGray"/>
        </w:rPr>
        <w:t xml:space="preserve">Utilizar la hoja </w:t>
      </w:r>
      <w:r w:rsidR="00DF6E7D" w:rsidRPr="00A93F5A">
        <w:rPr>
          <w:rFonts w:cs="Calibri"/>
          <w:b/>
          <w:sz w:val="20"/>
          <w:szCs w:val="20"/>
          <w:highlight w:val="lightGray"/>
        </w:rPr>
        <w:t>Excel</w:t>
      </w:r>
      <w:r w:rsidR="00F9417F" w:rsidRPr="00A93F5A">
        <w:rPr>
          <w:rFonts w:cs="Calibri"/>
          <w:b/>
          <w:sz w:val="20"/>
          <w:szCs w:val="20"/>
          <w:highlight w:val="lightGray"/>
        </w:rPr>
        <w:t xml:space="preserve"> de Ajustes Estabilidad y copiar</w:t>
      </w:r>
      <w:r w:rsidR="00594729" w:rsidRPr="00A93F5A">
        <w:rPr>
          <w:rFonts w:cs="Calibri"/>
          <w:b/>
          <w:sz w:val="20"/>
          <w:szCs w:val="20"/>
          <w:highlight w:val="lightGray"/>
        </w:rPr>
        <w:t xml:space="preserve"> la tabla</w:t>
      </w:r>
      <w:r w:rsidR="00F9417F" w:rsidRPr="00A93F5A">
        <w:rPr>
          <w:rFonts w:cs="Calibri"/>
          <w:b/>
          <w:sz w:val="20"/>
          <w:szCs w:val="20"/>
          <w:highlight w:val="lightGray"/>
        </w:rPr>
        <w:t xml:space="preserve">  "</w:t>
      </w:r>
      <w:r w:rsidRPr="00A93F5A">
        <w:rPr>
          <w:rFonts w:cs="Calibri"/>
          <w:b/>
          <w:sz w:val="20"/>
          <w:szCs w:val="20"/>
          <w:highlight w:val="lightGray"/>
        </w:rPr>
        <w:t>AJUSTE RECAUDACIÓN INGRESOS CAPITULOS  1</w:t>
      </w:r>
      <w:r w:rsidR="00DF6E7D" w:rsidRPr="00A93F5A">
        <w:rPr>
          <w:rFonts w:cs="Calibri"/>
          <w:b/>
          <w:sz w:val="20"/>
          <w:szCs w:val="20"/>
          <w:highlight w:val="lightGray"/>
        </w:rPr>
        <w:t xml:space="preserve"> </w:t>
      </w:r>
      <w:r w:rsidRPr="00A93F5A">
        <w:rPr>
          <w:rFonts w:cs="Calibri"/>
          <w:b/>
          <w:sz w:val="20"/>
          <w:szCs w:val="20"/>
          <w:highlight w:val="lightGray"/>
        </w:rPr>
        <w:t>a</w:t>
      </w:r>
      <w:r w:rsidR="00DF6E7D" w:rsidRPr="00A93F5A">
        <w:rPr>
          <w:rFonts w:cs="Calibri"/>
          <w:b/>
          <w:sz w:val="20"/>
          <w:szCs w:val="20"/>
          <w:highlight w:val="lightGray"/>
        </w:rPr>
        <w:t xml:space="preserve"> </w:t>
      </w:r>
      <w:r w:rsidRPr="00A93F5A">
        <w:rPr>
          <w:rFonts w:cs="Calibri"/>
          <w:b/>
          <w:sz w:val="20"/>
          <w:szCs w:val="20"/>
          <w:highlight w:val="lightGray"/>
        </w:rPr>
        <w:t xml:space="preserve"> 3</w:t>
      </w:r>
      <w:r w:rsidR="00F9417F" w:rsidRPr="00A93F5A">
        <w:rPr>
          <w:rFonts w:cs="Calibri"/>
          <w:b/>
          <w:sz w:val="20"/>
          <w:szCs w:val="20"/>
          <w:highlight w:val="lightGray"/>
        </w:rPr>
        <w:t>")</w:t>
      </w:r>
    </w:p>
    <w:p w:rsidR="00892C30" w:rsidRDefault="00892C30" w:rsidP="00DF6E7D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20"/>
        <w:gridCol w:w="1540"/>
        <w:gridCol w:w="1580"/>
        <w:gridCol w:w="1580"/>
        <w:gridCol w:w="1200"/>
        <w:gridCol w:w="1300"/>
      </w:tblGrid>
      <w:tr w:rsidR="0031669C" w:rsidRPr="0031669C" w:rsidTr="0031669C">
        <w:trPr>
          <w:trHeight w:val="315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24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EJERCICIO 202</w:t>
            </w:r>
            <w:r w:rsidR="00901580">
              <w:rPr>
                <w:rFonts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Previsiones iniciales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Recaudación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%    recaudación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ajuste %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Pto</w:t>
            </w:r>
            <w:proofErr w:type="spellEnd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. corriente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Pto</w:t>
            </w:r>
            <w:proofErr w:type="spellEnd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. Cerrados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Recaudación total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4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2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3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7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901580" w:rsidP="002622CF">
            <w:pPr>
              <w:spacing w:before="24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s-ES"/>
              </w:rPr>
              <w:t>EJERCICIO 2022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Previsiones iniciales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Recaudación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%    recaudación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ajuste %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Pto</w:t>
            </w:r>
            <w:proofErr w:type="spellEnd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. corriente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Pto</w:t>
            </w:r>
            <w:proofErr w:type="spellEnd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. Cerrados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Recaudación total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2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3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15"/>
        </w:trPr>
        <w:tc>
          <w:tcPr>
            <w:tcW w:w="9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24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lastRenderedPageBreak/>
              <w:t>EJERCICIO 202</w:t>
            </w:r>
            <w:r w:rsidR="00901580">
              <w:rPr>
                <w:rFonts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Previsiones iniciales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Recaudación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%    recaudación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ajuste %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Pto</w:t>
            </w:r>
            <w:proofErr w:type="spellEnd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. corriente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Pto</w:t>
            </w:r>
            <w:proofErr w:type="spellEnd"/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. Cerrados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Recaudación total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2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3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00"/>
        </w:trPr>
        <w:tc>
          <w:tcPr>
            <w:tcW w:w="9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FE783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APLICACION A EJERCICIO 202</w:t>
            </w:r>
            <w:r w:rsidR="00FE783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4</w:t>
            </w: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 xml:space="preserve"> AJUSTE RECAUDACIÓN CAPÍTULOS  1 A 3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CAPITULO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Media ajuste % recaudación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90158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Previsiones 202</w:t>
            </w:r>
            <w:r w:rsidR="00901580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Ajuste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Cap.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FFFF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FFFFFF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Cap.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FFFF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FFFFFF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2622C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Cap.3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FFFF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FFFFFF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0,00</w:t>
            </w:r>
          </w:p>
        </w:tc>
      </w:tr>
    </w:tbl>
    <w:p w:rsidR="00F9417F" w:rsidRPr="000973AC" w:rsidRDefault="00F9417F" w:rsidP="00C475D9">
      <w:pPr>
        <w:spacing w:after="0" w:line="240" w:lineRule="auto"/>
        <w:jc w:val="center"/>
        <w:rPr>
          <w:rFonts w:cs="Calibri"/>
        </w:rPr>
      </w:pPr>
    </w:p>
    <w:p w:rsidR="00D61051" w:rsidRPr="000973AC" w:rsidRDefault="00D61051" w:rsidP="00D61051">
      <w:pPr>
        <w:spacing w:after="0" w:line="240" w:lineRule="auto"/>
        <w:jc w:val="both"/>
        <w:rPr>
          <w:rFonts w:cs="Calibri"/>
        </w:rPr>
      </w:pPr>
    </w:p>
    <w:p w:rsidR="00980D91" w:rsidRPr="000973AC" w:rsidRDefault="00980D91" w:rsidP="00980D91">
      <w:pPr>
        <w:spacing w:after="0" w:line="240" w:lineRule="auto"/>
        <w:jc w:val="both"/>
        <w:rPr>
          <w:rFonts w:cs="Calibri"/>
        </w:rPr>
      </w:pPr>
      <w:r w:rsidRPr="000973AC">
        <w:rPr>
          <w:rFonts w:cs="Calibri"/>
          <w:b/>
          <w:lang w:eastAsia="es-ES"/>
        </w:rPr>
        <w:t>● Ajustes por la devolución Liquidación negativa PIE. (Cap.4)</w:t>
      </w:r>
    </w:p>
    <w:p w:rsidR="00C655B4" w:rsidRPr="000973AC" w:rsidRDefault="00C655B4" w:rsidP="00C655B4">
      <w:pPr>
        <w:spacing w:after="0" w:line="240" w:lineRule="auto"/>
        <w:jc w:val="both"/>
        <w:rPr>
          <w:rFonts w:cs="Calibri"/>
        </w:rPr>
      </w:pPr>
    </w:p>
    <w:p w:rsidR="005003E9" w:rsidRDefault="005B5750" w:rsidP="005B5750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ab/>
      </w:r>
      <w:r w:rsidR="00C655B4" w:rsidRPr="000973AC">
        <w:rPr>
          <w:rFonts w:cs="Calibri"/>
        </w:rPr>
        <w:t xml:space="preserve">Ajustes positivos por los importes a </w:t>
      </w:r>
      <w:r w:rsidR="00B83BCE" w:rsidRPr="000973AC">
        <w:rPr>
          <w:rFonts w:cs="Calibri"/>
        </w:rPr>
        <w:t>reintegrar en</w:t>
      </w:r>
      <w:r w:rsidR="00C655B4" w:rsidRPr="000973AC">
        <w:rPr>
          <w:rFonts w:cs="Calibri"/>
        </w:rPr>
        <w:t xml:space="preserve"> el </w:t>
      </w:r>
      <w:r w:rsidR="00C655B4" w:rsidRPr="000973AC">
        <w:rPr>
          <w:rFonts w:cs="Calibri"/>
          <w:color w:val="0000FF"/>
        </w:rPr>
        <w:t>20</w:t>
      </w:r>
      <w:r w:rsidR="00596181">
        <w:rPr>
          <w:rFonts w:cs="Calibri"/>
          <w:color w:val="0000FF"/>
        </w:rPr>
        <w:t>2</w:t>
      </w:r>
      <w:r w:rsidR="000D7C9E">
        <w:rPr>
          <w:rFonts w:cs="Calibri"/>
          <w:color w:val="0000FF"/>
        </w:rPr>
        <w:t>4</w:t>
      </w:r>
      <w:r w:rsidR="00C655B4" w:rsidRPr="000973AC">
        <w:rPr>
          <w:rFonts w:cs="Calibri"/>
        </w:rPr>
        <w:t xml:space="preserve"> en concepto de devolución de las liquidaciones negativas</w:t>
      </w:r>
      <w:r w:rsidR="005003E9" w:rsidRPr="000973AC">
        <w:rPr>
          <w:rFonts w:cs="Calibri"/>
        </w:rPr>
        <w:t xml:space="preserve"> por la Participación en los Tributos del Estado </w:t>
      </w:r>
      <w:r w:rsidR="00D43052" w:rsidRPr="000973AC">
        <w:rPr>
          <w:rFonts w:cs="Calibri"/>
        </w:rPr>
        <w:t xml:space="preserve">correspondientes a los ejercicios________  </w:t>
      </w:r>
      <w:r w:rsidR="005003E9" w:rsidRPr="000973AC">
        <w:rPr>
          <w:rFonts w:cs="Calibri"/>
        </w:rPr>
        <w:t xml:space="preserve">, </w:t>
      </w:r>
    </w:p>
    <w:p w:rsidR="00D43052" w:rsidRDefault="00891559" w:rsidP="00C655B4">
      <w:pPr>
        <w:spacing w:after="0" w:line="240" w:lineRule="auto"/>
        <w:jc w:val="both"/>
        <w:rPr>
          <w:rFonts w:cs="Calibri"/>
          <w:i/>
        </w:rPr>
      </w:pPr>
      <w:r w:rsidRPr="00891559">
        <w:rPr>
          <w:rFonts w:cs="Calibri"/>
          <w:i/>
          <w:highlight w:val="lightGray"/>
        </w:rPr>
        <w:t>(</w:t>
      </w:r>
      <w:bookmarkStart w:id="0" w:name="OLE_LINK1"/>
      <w:r w:rsidRPr="00891559">
        <w:rPr>
          <w:rFonts w:cs="Calibri"/>
          <w:i/>
          <w:highlight w:val="lightGray"/>
        </w:rPr>
        <w:t xml:space="preserve">Este ajuste sólo procede cuando se haya presupuestado el importe </w:t>
      </w:r>
      <w:r w:rsidR="008657FB">
        <w:rPr>
          <w:rFonts w:cs="Calibri"/>
          <w:i/>
          <w:highlight w:val="lightGray"/>
        </w:rPr>
        <w:t xml:space="preserve">a ingresar </w:t>
      </w:r>
      <w:r w:rsidRPr="00891559">
        <w:rPr>
          <w:rFonts w:cs="Calibri"/>
          <w:i/>
          <w:highlight w:val="lightGray"/>
        </w:rPr>
        <w:t>de la</w:t>
      </w:r>
      <w:r>
        <w:rPr>
          <w:rFonts w:cs="Calibri"/>
          <w:i/>
          <w:highlight w:val="lightGray"/>
        </w:rPr>
        <w:t xml:space="preserve"> </w:t>
      </w:r>
      <w:r w:rsidRPr="00891559">
        <w:rPr>
          <w:rFonts w:cs="Calibri"/>
          <w:i/>
          <w:highlight w:val="lightGray"/>
        </w:rPr>
        <w:t>PIE 202</w:t>
      </w:r>
      <w:r w:rsidR="000D7C9E">
        <w:rPr>
          <w:rFonts w:cs="Calibri"/>
          <w:i/>
          <w:highlight w:val="lightGray"/>
        </w:rPr>
        <w:t>4</w:t>
      </w:r>
      <w:r w:rsidRPr="00891559">
        <w:rPr>
          <w:rFonts w:cs="Calibri"/>
          <w:i/>
          <w:highlight w:val="lightGray"/>
        </w:rPr>
        <w:t xml:space="preserve"> por su importe</w:t>
      </w:r>
      <w:r w:rsidR="00443F24">
        <w:rPr>
          <w:rFonts w:cs="Calibri"/>
          <w:i/>
          <w:highlight w:val="lightGray"/>
        </w:rPr>
        <w:t xml:space="preserve"> </w:t>
      </w:r>
      <w:r w:rsidR="008657FB">
        <w:rPr>
          <w:rFonts w:cs="Calibri"/>
          <w:i/>
          <w:highlight w:val="lightGray"/>
        </w:rPr>
        <w:t>neto</w:t>
      </w:r>
      <w:bookmarkEnd w:id="0"/>
      <w:r w:rsidRPr="00891559">
        <w:rPr>
          <w:rFonts w:cs="Calibri"/>
          <w:i/>
          <w:highlight w:val="lightGray"/>
        </w:rPr>
        <w:t>)</w:t>
      </w:r>
    </w:p>
    <w:p w:rsidR="00891559" w:rsidRPr="00891559" w:rsidRDefault="00891559" w:rsidP="00C655B4">
      <w:pPr>
        <w:spacing w:after="0" w:line="240" w:lineRule="auto"/>
        <w:jc w:val="both"/>
        <w:rPr>
          <w:rFonts w:cs="Calibri"/>
          <w:i/>
        </w:rPr>
      </w:pPr>
    </w:p>
    <w:p w:rsidR="00F9417F" w:rsidRPr="00A93F5A" w:rsidRDefault="00F9417F" w:rsidP="005B5750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A93F5A">
        <w:rPr>
          <w:rFonts w:cs="Calibri"/>
          <w:b/>
          <w:sz w:val="20"/>
          <w:szCs w:val="20"/>
          <w:highlight w:val="lightGray"/>
        </w:rPr>
        <w:t xml:space="preserve">(Utilizar la hoja </w:t>
      </w:r>
      <w:r w:rsidR="005644A1" w:rsidRPr="00A93F5A">
        <w:rPr>
          <w:rFonts w:cs="Calibri"/>
          <w:b/>
          <w:sz w:val="20"/>
          <w:szCs w:val="20"/>
          <w:highlight w:val="lightGray"/>
        </w:rPr>
        <w:t>Excel</w:t>
      </w:r>
      <w:r w:rsidRPr="00A93F5A">
        <w:rPr>
          <w:rFonts w:cs="Calibri"/>
          <w:b/>
          <w:sz w:val="20"/>
          <w:szCs w:val="20"/>
          <w:highlight w:val="lightGray"/>
        </w:rPr>
        <w:t xml:space="preserve"> de Ajustes Estabilidad y copiar</w:t>
      </w:r>
      <w:r w:rsidR="00594729" w:rsidRPr="00A93F5A">
        <w:rPr>
          <w:rFonts w:cs="Calibri"/>
          <w:b/>
          <w:sz w:val="20"/>
          <w:szCs w:val="20"/>
          <w:highlight w:val="lightGray"/>
        </w:rPr>
        <w:t xml:space="preserve"> la tabla</w:t>
      </w:r>
      <w:r w:rsidRPr="00A93F5A">
        <w:rPr>
          <w:rFonts w:cs="Calibri"/>
          <w:b/>
          <w:sz w:val="20"/>
          <w:szCs w:val="20"/>
          <w:highlight w:val="lightGray"/>
        </w:rPr>
        <w:t xml:space="preserve">  "AJUSTE POR LA DEVOLUCIÓN LIQUIDACION NEGATIVA PIE ")</w:t>
      </w:r>
    </w:p>
    <w:p w:rsidR="00D43052" w:rsidRPr="000973AC" w:rsidRDefault="00D43052" w:rsidP="00C655B4">
      <w:pPr>
        <w:spacing w:after="0" w:line="240" w:lineRule="auto"/>
        <w:jc w:val="both"/>
        <w:rPr>
          <w:rFonts w:cs="Calibri"/>
          <w:i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200"/>
      </w:tblGrid>
      <w:tr w:rsidR="00F913DC" w:rsidRPr="00F913DC" w:rsidTr="00F913DC">
        <w:trPr>
          <w:trHeight w:val="360"/>
          <w:jc w:val="center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13DC" w:rsidRPr="00F913DC" w:rsidRDefault="00F913DC" w:rsidP="00CE2E56">
            <w:pPr>
              <w:spacing w:after="12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F913D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Ajuste Devolución liquidación PIE 2008 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F913DC" w:rsidRPr="00F913DC" w:rsidRDefault="00F913DC" w:rsidP="002959CD">
            <w:pPr>
              <w:spacing w:after="12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F913D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913DC" w:rsidRPr="00F913DC" w:rsidTr="00F913DC">
        <w:trPr>
          <w:trHeight w:val="390"/>
          <w:jc w:val="center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13DC" w:rsidRPr="00F913DC" w:rsidRDefault="00F913DC" w:rsidP="00CE2E56">
            <w:pPr>
              <w:spacing w:after="12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F913D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Ajuste Devolución liquidación PIE 2009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F913DC" w:rsidRPr="00F913DC" w:rsidRDefault="00F913DC" w:rsidP="002959CD">
            <w:pPr>
              <w:spacing w:after="12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F913D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913DC" w:rsidRPr="00F913DC" w:rsidTr="00F913DC">
        <w:trPr>
          <w:trHeight w:val="390"/>
          <w:jc w:val="center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13DC" w:rsidRPr="00F913DC" w:rsidRDefault="00F913DC" w:rsidP="00CE2E56">
            <w:pPr>
              <w:spacing w:after="12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F913DC">
              <w:rPr>
                <w:rFonts w:cs="Calibri"/>
                <w:color w:val="000000"/>
                <w:sz w:val="20"/>
                <w:szCs w:val="20"/>
                <w:lang w:eastAsia="es-ES"/>
              </w:rPr>
              <w:t>Ajuste Devolución liquidación PIE ejercicios distintos a 2008 y 2009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F913DC" w:rsidRPr="00F913DC" w:rsidRDefault="00F913DC" w:rsidP="002959CD">
            <w:pPr>
              <w:spacing w:after="12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F913D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9F586C" w:rsidRPr="000973AC" w:rsidRDefault="009F586C" w:rsidP="00BE65A8">
      <w:pPr>
        <w:rPr>
          <w:rFonts w:cs="Calibri"/>
        </w:rPr>
      </w:pPr>
    </w:p>
    <w:p w:rsidR="00E21379" w:rsidRPr="000973AC" w:rsidRDefault="00E21379" w:rsidP="00E21379">
      <w:pPr>
        <w:pStyle w:val="Estndar"/>
        <w:jc w:val="both"/>
        <w:rPr>
          <w:rFonts w:ascii="Calibri" w:hAnsi="Calibri" w:cs="Calibri"/>
          <w:b/>
          <w:bCs/>
          <w:color w:val="0000FF"/>
          <w:sz w:val="22"/>
          <w:szCs w:val="22"/>
          <w:u w:val="single"/>
          <w:lang w:val="es-ES"/>
        </w:rPr>
      </w:pPr>
      <w:r w:rsidRPr="000973AC">
        <w:rPr>
          <w:rFonts w:ascii="Calibri" w:hAnsi="Calibri" w:cs="Calibri"/>
          <w:b/>
          <w:bCs/>
          <w:color w:val="0000FF"/>
          <w:sz w:val="22"/>
          <w:szCs w:val="22"/>
          <w:u w:val="single"/>
          <w:lang w:val="es-ES"/>
        </w:rPr>
        <w:t>En el estado de Gastos:</w:t>
      </w:r>
    </w:p>
    <w:p w:rsidR="00E21379" w:rsidRPr="000973AC" w:rsidRDefault="00E21379" w:rsidP="00E21379">
      <w:pPr>
        <w:pStyle w:val="Estndar"/>
        <w:jc w:val="both"/>
        <w:rPr>
          <w:rFonts w:ascii="Calibri" w:hAnsi="Calibri" w:cs="Calibri"/>
          <w:b/>
          <w:bCs/>
          <w:color w:val="0000FF"/>
          <w:sz w:val="22"/>
          <w:szCs w:val="22"/>
          <w:u w:val="single"/>
          <w:lang w:val="es-ES"/>
        </w:rPr>
      </w:pPr>
    </w:p>
    <w:p w:rsidR="00E21379" w:rsidRPr="00A93F5A" w:rsidRDefault="00E21379" w:rsidP="00E21379">
      <w:pPr>
        <w:pStyle w:val="Estndar"/>
        <w:jc w:val="both"/>
        <w:rPr>
          <w:rFonts w:ascii="Calibri" w:hAnsi="Calibri" w:cs="Calibri"/>
          <w:i/>
          <w:sz w:val="20"/>
          <w:lang w:val="es-ES"/>
        </w:rPr>
      </w:pPr>
      <w:r w:rsidRPr="000973AC">
        <w:rPr>
          <w:rFonts w:ascii="Calibri" w:hAnsi="Calibri" w:cs="Calibri"/>
          <w:b/>
          <w:sz w:val="22"/>
          <w:szCs w:val="22"/>
          <w:lang w:val="es-ES"/>
        </w:rPr>
        <w:t xml:space="preserve">● Ajuste por grado de ejecución del gasto. </w:t>
      </w:r>
      <w:r w:rsidRPr="00A93F5A">
        <w:rPr>
          <w:rFonts w:ascii="Calibri" w:hAnsi="Calibri" w:cs="Calibri"/>
          <w:i/>
          <w:sz w:val="20"/>
          <w:highlight w:val="lightGray"/>
          <w:lang w:val="es-ES"/>
        </w:rPr>
        <w:t>(Este ajuste sólo es aplicable en fase de aprobación de presupuesto)</w:t>
      </w:r>
    </w:p>
    <w:p w:rsidR="00E21379" w:rsidRPr="000973AC" w:rsidRDefault="00E21379" w:rsidP="00E21379">
      <w:pPr>
        <w:pStyle w:val="Estndar"/>
        <w:jc w:val="both"/>
        <w:rPr>
          <w:rFonts w:ascii="Calibri" w:hAnsi="Calibri" w:cs="Calibri"/>
          <w:i/>
          <w:sz w:val="22"/>
          <w:szCs w:val="22"/>
          <w:lang w:val="es-ES"/>
        </w:rPr>
      </w:pPr>
    </w:p>
    <w:p w:rsidR="00596B9A" w:rsidRPr="000973AC" w:rsidRDefault="00BF0685" w:rsidP="00907B77">
      <w:pPr>
        <w:spacing w:after="120" w:line="240" w:lineRule="auto"/>
        <w:jc w:val="both"/>
        <w:rPr>
          <w:rFonts w:cs="Calibri"/>
          <w:color w:val="0000FF"/>
        </w:rPr>
      </w:pPr>
      <w:r>
        <w:rPr>
          <w:rFonts w:cs="Calibri"/>
        </w:rPr>
        <w:tab/>
      </w:r>
      <w:r w:rsidR="008A0368" w:rsidRPr="000973AC">
        <w:rPr>
          <w:rFonts w:cs="Calibri"/>
        </w:rPr>
        <w:t xml:space="preserve">En las Corporaciones Locales la ejecución presupuestaria final suele presentar desviaciones respecto de los créditos iniciales del presupuesto. </w:t>
      </w:r>
      <w:r w:rsidR="008A0368" w:rsidRPr="000973AC">
        <w:rPr>
          <w:rFonts w:cs="Calibri"/>
          <w:u w:val="single"/>
        </w:rPr>
        <w:t>Este ajuste reducirá los empleos</w:t>
      </w:r>
      <w:r w:rsidR="009247C4">
        <w:rPr>
          <w:rFonts w:cs="Calibri"/>
          <w:u w:val="single"/>
        </w:rPr>
        <w:t xml:space="preserve"> (gastos)</w:t>
      </w:r>
      <w:r w:rsidR="008A0368" w:rsidRPr="000973AC">
        <w:rPr>
          <w:rFonts w:cs="Calibri"/>
          <w:u w:val="single"/>
        </w:rPr>
        <w:t xml:space="preserve"> no financieros en aquellos créditos que por sus características o por su naturaleza se consideren de imposible ejecución en el ejercicio presupuestario.</w:t>
      </w:r>
      <w:r w:rsidR="008A0368" w:rsidRPr="000973AC">
        <w:rPr>
          <w:rFonts w:cs="Calibri"/>
        </w:rPr>
        <w:t xml:space="preserve"> </w:t>
      </w:r>
      <w:r w:rsidR="008A0368" w:rsidRPr="000973AC">
        <w:rPr>
          <w:rFonts w:cs="Calibri"/>
          <w:u w:val="single"/>
        </w:rPr>
        <w:t>Y los aumentará en aquellos créditos cuya ejecución vaya a superar el importe de los previstos inicialmente</w:t>
      </w:r>
      <w:r w:rsidR="008A0368" w:rsidRPr="000973AC">
        <w:rPr>
          <w:rFonts w:cs="Calibri"/>
        </w:rPr>
        <w:t xml:space="preserve">. </w:t>
      </w:r>
      <w:r w:rsidR="008A0368" w:rsidRPr="000973AC">
        <w:rPr>
          <w:rFonts w:cs="Calibri"/>
          <w:color w:val="0000FF"/>
        </w:rPr>
        <w:t>Este ajuste se estimará por cada Entidad Local en función de la experiencia acumulada de años anteriores sobre las diferencias entre las previsiones presupuestarias y la ejecución real.</w:t>
      </w:r>
      <w:r w:rsidR="003047AC" w:rsidRPr="000973AC">
        <w:rPr>
          <w:rFonts w:cs="Calibri"/>
          <w:color w:val="0000FF"/>
        </w:rPr>
        <w:t xml:space="preserve"> </w:t>
      </w:r>
    </w:p>
    <w:p w:rsidR="003047AC" w:rsidRPr="003F0D31" w:rsidRDefault="00BF0685" w:rsidP="00907B77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lastRenderedPageBreak/>
        <w:tab/>
      </w:r>
      <w:r w:rsidR="003047AC" w:rsidRPr="000973AC">
        <w:rPr>
          <w:rFonts w:cs="Calibri"/>
        </w:rPr>
        <w:t xml:space="preserve">Para realizar este ajuste </w:t>
      </w:r>
      <w:r w:rsidR="00D43052" w:rsidRPr="000973AC">
        <w:rPr>
          <w:rFonts w:cs="Calibri"/>
        </w:rPr>
        <w:t xml:space="preserve">se procede </w:t>
      </w:r>
      <w:r w:rsidR="003047AC" w:rsidRPr="000973AC">
        <w:rPr>
          <w:rFonts w:cs="Calibri"/>
        </w:rPr>
        <w:t>a comparar las previsiones iniciales con las obligaciones reconocidas de los tres últimos ejercicios</w:t>
      </w:r>
      <w:r w:rsidR="00DB16BC" w:rsidRPr="003F0D31">
        <w:rPr>
          <w:rFonts w:cs="Calibri"/>
        </w:rPr>
        <w:t xml:space="preserve">, eliminando los valores atípicos. </w:t>
      </w:r>
      <w:r w:rsidR="003047AC" w:rsidRPr="003F0D31">
        <w:rPr>
          <w:rFonts w:cs="Calibri"/>
        </w:rPr>
        <w:t xml:space="preserve">Aplicando el porcentaje estimado del grado de </w:t>
      </w:r>
      <w:r w:rsidR="00DB16BC" w:rsidRPr="003F0D31">
        <w:rPr>
          <w:rFonts w:cs="Calibri"/>
        </w:rPr>
        <w:t>ejecución,</w:t>
      </w:r>
      <w:r w:rsidR="003047AC" w:rsidRPr="003F0D31">
        <w:rPr>
          <w:rFonts w:cs="Calibri"/>
        </w:rPr>
        <w:t xml:space="preserve"> al importe de los </w:t>
      </w:r>
      <w:r w:rsidR="00F70F83" w:rsidRPr="003F0D31">
        <w:rPr>
          <w:rFonts w:cs="Calibri"/>
        </w:rPr>
        <w:t>créditos</w:t>
      </w:r>
      <w:r w:rsidR="003047AC" w:rsidRPr="003F0D31">
        <w:rPr>
          <w:rFonts w:cs="Calibri"/>
        </w:rPr>
        <w:t xml:space="preserve"> no financieros (Cap. 1 a 7) del presupuesto de ga</w:t>
      </w:r>
      <w:r w:rsidR="00E432B2" w:rsidRPr="003F0D31">
        <w:rPr>
          <w:rFonts w:cs="Calibri"/>
        </w:rPr>
        <w:t>s</w:t>
      </w:r>
      <w:r w:rsidR="003047AC" w:rsidRPr="003F0D31">
        <w:rPr>
          <w:rFonts w:cs="Calibri"/>
        </w:rPr>
        <w:t xml:space="preserve">tos. En el caso del </w:t>
      </w:r>
      <w:r w:rsidR="00007B4E" w:rsidRPr="003F0D31">
        <w:rPr>
          <w:rFonts w:cs="Calibri"/>
        </w:rPr>
        <w:t>Capítulo</w:t>
      </w:r>
      <w:r w:rsidR="003047AC" w:rsidRPr="003F0D31">
        <w:rPr>
          <w:rFonts w:cs="Calibri"/>
        </w:rPr>
        <w:t xml:space="preserve"> 3, se excluyen los intereses de deuda</w:t>
      </w:r>
      <w:r w:rsidR="00FE0860" w:rsidRPr="003F0D31">
        <w:rPr>
          <w:rFonts w:cs="Calibri"/>
        </w:rPr>
        <w:t>, únicamente se incluirán los créditos de emisión, formalización,</w:t>
      </w:r>
      <w:r w:rsidR="00F70F83" w:rsidRPr="003F0D31">
        <w:rPr>
          <w:rFonts w:cs="Calibri"/>
        </w:rPr>
        <w:t xml:space="preserve"> </w:t>
      </w:r>
      <w:r w:rsidR="00FE0860" w:rsidRPr="003F0D31">
        <w:rPr>
          <w:rFonts w:cs="Calibri"/>
        </w:rPr>
        <w:t>modificación y cancelación de préstamos, deudas y otras operaciones financieras, así como los</w:t>
      </w:r>
      <w:r w:rsidR="004A7282" w:rsidRPr="003F0D31">
        <w:rPr>
          <w:rFonts w:cs="Calibri"/>
        </w:rPr>
        <w:t xml:space="preserve"> </w:t>
      </w:r>
      <w:r w:rsidR="00FE0860" w:rsidRPr="003F0D31">
        <w:rPr>
          <w:rFonts w:cs="Calibri"/>
        </w:rPr>
        <w:t>créditos por ejecución de avales</w:t>
      </w:r>
      <w:r w:rsidR="00DE385B" w:rsidRPr="003F0D31">
        <w:rPr>
          <w:rFonts w:cs="Calibri"/>
        </w:rPr>
        <w:t>,</w:t>
      </w:r>
      <w:r w:rsidR="00DE385B" w:rsidRPr="003F0D31">
        <w:t xml:space="preserve"> </w:t>
      </w:r>
      <w:r w:rsidR="00DE385B" w:rsidRPr="003F0D31">
        <w:rPr>
          <w:rFonts w:cs="Calibri"/>
        </w:rPr>
        <w:t>Subconceptos (301, 311, 321, 331 y 357)</w:t>
      </w:r>
      <w:r w:rsidR="00FE0860" w:rsidRPr="003F0D31">
        <w:rPr>
          <w:rFonts w:cs="Calibri"/>
        </w:rPr>
        <w:t>.</w:t>
      </w:r>
    </w:p>
    <w:p w:rsidR="00907B77" w:rsidRPr="000973AC" w:rsidRDefault="00907B77" w:rsidP="00F70F83">
      <w:pPr>
        <w:spacing w:after="0" w:line="240" w:lineRule="auto"/>
        <w:jc w:val="both"/>
        <w:rPr>
          <w:rFonts w:cs="Calibri"/>
        </w:rPr>
      </w:pPr>
    </w:p>
    <w:p w:rsidR="00907B77" w:rsidRDefault="00907B77" w:rsidP="00CE2E56">
      <w:pPr>
        <w:spacing w:after="0" w:line="240" w:lineRule="auto"/>
        <w:jc w:val="center"/>
        <w:rPr>
          <w:rFonts w:cs="Calibri"/>
          <w:b/>
          <w:sz w:val="20"/>
          <w:szCs w:val="20"/>
          <w:highlight w:val="lightGray"/>
        </w:rPr>
      </w:pPr>
      <w:r w:rsidRPr="00A93F5A">
        <w:rPr>
          <w:rFonts w:cs="Calibri"/>
          <w:b/>
          <w:sz w:val="20"/>
          <w:szCs w:val="20"/>
        </w:rPr>
        <w:t>(</w:t>
      </w:r>
      <w:r w:rsidRPr="00A93F5A">
        <w:rPr>
          <w:rFonts w:cs="Calibri"/>
          <w:b/>
          <w:sz w:val="20"/>
          <w:szCs w:val="20"/>
          <w:highlight w:val="lightGray"/>
        </w:rPr>
        <w:t xml:space="preserve">Utilizar la hoja </w:t>
      </w:r>
      <w:r w:rsidR="005644A1" w:rsidRPr="00A93F5A">
        <w:rPr>
          <w:rFonts w:cs="Calibri"/>
          <w:b/>
          <w:sz w:val="20"/>
          <w:szCs w:val="20"/>
          <w:highlight w:val="lightGray"/>
        </w:rPr>
        <w:t>Excel</w:t>
      </w:r>
      <w:r w:rsidRPr="00A93F5A">
        <w:rPr>
          <w:rFonts w:cs="Calibri"/>
          <w:b/>
          <w:sz w:val="20"/>
          <w:szCs w:val="20"/>
          <w:highlight w:val="lightGray"/>
        </w:rPr>
        <w:t xml:space="preserve"> de Ajustes Estabilidad y copiar </w:t>
      </w:r>
      <w:r w:rsidR="00594729" w:rsidRPr="00A93F5A">
        <w:rPr>
          <w:rFonts w:cs="Calibri"/>
          <w:b/>
          <w:sz w:val="20"/>
          <w:szCs w:val="20"/>
          <w:highlight w:val="lightGray"/>
        </w:rPr>
        <w:t xml:space="preserve">la tabla </w:t>
      </w:r>
      <w:r w:rsidR="00FE783C">
        <w:rPr>
          <w:rFonts w:cs="Calibri"/>
          <w:b/>
          <w:sz w:val="20"/>
          <w:szCs w:val="20"/>
          <w:highlight w:val="lightGray"/>
        </w:rPr>
        <w:t xml:space="preserve">"AJUSTE </w:t>
      </w:r>
      <w:r w:rsidRPr="00A93F5A">
        <w:rPr>
          <w:rFonts w:cs="Calibri"/>
          <w:b/>
          <w:sz w:val="20"/>
          <w:szCs w:val="20"/>
          <w:highlight w:val="lightGray"/>
        </w:rPr>
        <w:t>GRADO DE EJECUCION DEL GASTO")</w:t>
      </w:r>
    </w:p>
    <w:p w:rsidR="0031669C" w:rsidRPr="00A93F5A" w:rsidRDefault="0031669C" w:rsidP="00907B7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260"/>
        <w:gridCol w:w="2460"/>
        <w:gridCol w:w="2040"/>
      </w:tblGrid>
      <w:tr w:rsidR="0031669C" w:rsidRPr="0031669C" w:rsidTr="0031669C">
        <w:trPr>
          <w:trHeight w:val="315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Ejercicio</w:t>
            </w: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 xml:space="preserve"> 202</w:t>
            </w:r>
            <w:r w:rsidR="000D7C9E">
              <w:rPr>
                <w:rFonts w:cs="Calibri"/>
                <w:color w:val="0000FF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Créditos iniciales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Obligaciones reconocidas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% Grado de ejecución</w:t>
            </w:r>
          </w:p>
        </w:tc>
      </w:tr>
      <w:tr w:rsidR="0031669C" w:rsidRPr="0031669C" w:rsidTr="0031669C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4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1 a 7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75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Ejercicio </w:t>
            </w: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202</w:t>
            </w:r>
            <w:r w:rsidR="000D7C9E">
              <w:rPr>
                <w:rFonts w:cs="Calibri"/>
                <w:color w:val="0000FF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Créditos iniciales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Obligaciones reconocidas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% Grado de ejecución</w:t>
            </w:r>
          </w:p>
        </w:tc>
      </w:tr>
      <w:tr w:rsidR="0031669C" w:rsidRPr="0031669C" w:rsidTr="0031669C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40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1 a 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Ejercicio </w:t>
            </w: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202</w:t>
            </w:r>
            <w:r w:rsidR="000D7C9E">
              <w:rPr>
                <w:rFonts w:cs="Calibri"/>
                <w:color w:val="0000FF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Créditos iniciales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Obligaciones reconocidas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% Grado de ejecución</w:t>
            </w:r>
          </w:p>
        </w:tc>
      </w:tr>
      <w:tr w:rsidR="0031669C" w:rsidRPr="0031669C" w:rsidTr="0031669C">
        <w:trPr>
          <w:trHeight w:val="375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1 a 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0,00%</w:t>
            </w:r>
          </w:p>
        </w:tc>
      </w:tr>
      <w:tr w:rsidR="0031669C" w:rsidRPr="0031669C" w:rsidTr="0031669C">
        <w:trPr>
          <w:trHeight w:val="315"/>
        </w:trPr>
        <w:tc>
          <w:tcPr>
            <w:tcW w:w="9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FE783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APLICACIÓN A EJERCICIO 202</w:t>
            </w:r>
            <w:r w:rsidR="00FE783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4</w:t>
            </w: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 xml:space="preserve">  AJUSTE GRADO EJECUCIÓN</w:t>
            </w:r>
          </w:p>
        </w:tc>
      </w:tr>
      <w:tr w:rsidR="0031669C" w:rsidRPr="0031669C" w:rsidTr="0031669C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Ejercicio 202</w:t>
            </w:r>
            <w:r w:rsidR="000D7C9E">
              <w:rPr>
                <w:rFonts w:cs="Calibri"/>
                <w:color w:val="0000FF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Créditos iniciales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% Media ajustes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2959CD">
            <w:pPr>
              <w:spacing w:before="120" w:after="0" w:line="240" w:lineRule="auto"/>
              <w:jc w:val="center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Ajuste</w:t>
            </w:r>
          </w:p>
        </w:tc>
      </w:tr>
      <w:tr w:rsidR="0031669C" w:rsidRPr="0031669C" w:rsidTr="0031669C">
        <w:trPr>
          <w:trHeight w:val="330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</w:p>
        </w:tc>
      </w:tr>
      <w:tr w:rsidR="0031669C" w:rsidRPr="0031669C" w:rsidTr="0031669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Cap. 1 a 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0,00</w:t>
            </w:r>
          </w:p>
        </w:tc>
      </w:tr>
    </w:tbl>
    <w:p w:rsidR="003047AC" w:rsidRPr="000973AC" w:rsidRDefault="003047AC" w:rsidP="00F70F83">
      <w:pPr>
        <w:spacing w:after="0" w:line="240" w:lineRule="auto"/>
        <w:jc w:val="both"/>
        <w:rPr>
          <w:rFonts w:cs="Calibri"/>
        </w:rPr>
      </w:pPr>
    </w:p>
    <w:p w:rsidR="008B07AA" w:rsidRPr="000973AC" w:rsidRDefault="008B07AA" w:rsidP="006165AC">
      <w:pPr>
        <w:pStyle w:val="Estndar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  <w:r w:rsidRPr="000973AC">
        <w:rPr>
          <w:rFonts w:ascii="Calibri" w:hAnsi="Calibri" w:cs="Calibri"/>
          <w:b/>
          <w:sz w:val="22"/>
          <w:szCs w:val="22"/>
          <w:lang w:val="es-ES"/>
        </w:rPr>
        <w:t>● Ajuste por intereses devengados y no vencidos de préstamos (Cap.3)</w:t>
      </w:r>
      <w:r w:rsidRPr="000973AC">
        <w:rPr>
          <w:rFonts w:ascii="Calibri" w:hAnsi="Calibri" w:cs="Calibri"/>
          <w:b/>
          <w:sz w:val="22"/>
          <w:szCs w:val="22"/>
          <w:lang w:val="es-ES" w:eastAsia="zh-CN"/>
        </w:rPr>
        <w:tab/>
      </w:r>
      <w:r w:rsidRPr="00A93F5A">
        <w:rPr>
          <w:rFonts w:ascii="Calibri" w:hAnsi="Calibri" w:cs="Calibri"/>
          <w:bCs/>
          <w:i/>
          <w:sz w:val="20"/>
          <w:highlight w:val="lightGray"/>
          <w:lang w:val="es-ES"/>
        </w:rPr>
        <w:t>(</w:t>
      </w:r>
      <w:r w:rsidR="001B083B" w:rsidRPr="00A93F5A">
        <w:rPr>
          <w:rFonts w:ascii="Calibri" w:hAnsi="Calibri" w:cs="Calibri"/>
          <w:bCs/>
          <w:i/>
          <w:sz w:val="20"/>
          <w:highlight w:val="lightGray"/>
          <w:lang w:val="es-ES"/>
        </w:rPr>
        <w:t xml:space="preserve">Nota: </w:t>
      </w:r>
      <w:r w:rsidRPr="00A93F5A">
        <w:rPr>
          <w:rFonts w:ascii="Calibri" w:hAnsi="Calibri" w:cs="Calibri"/>
          <w:bCs/>
          <w:i/>
          <w:sz w:val="20"/>
          <w:highlight w:val="lightGray"/>
          <w:lang w:val="es-ES"/>
        </w:rPr>
        <w:t>Por aplicación del principio de importancia relativa, este ajuste puede que no se considere necesario realizar si es de escasa entidad- los ajustes se compensarían entre si- y por tanto de escasa incidencia en la estabilidad)</w:t>
      </w:r>
    </w:p>
    <w:p w:rsidR="00930CF5" w:rsidRPr="000973AC" w:rsidRDefault="00930CF5" w:rsidP="006165AC">
      <w:pPr>
        <w:pStyle w:val="Estndar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</w:p>
    <w:p w:rsidR="008B07AA" w:rsidRPr="000973AC" w:rsidRDefault="00BF0685" w:rsidP="008B07AA">
      <w:pPr>
        <w:pStyle w:val="Estndar"/>
        <w:jc w:val="both"/>
        <w:rPr>
          <w:rFonts w:ascii="Calibri" w:hAnsi="Calibri" w:cs="Calibri"/>
          <w:bCs/>
          <w:sz w:val="22"/>
          <w:szCs w:val="22"/>
          <w:lang w:val="es-ES"/>
        </w:rPr>
      </w:pPr>
      <w:r>
        <w:rPr>
          <w:rFonts w:ascii="Calibri" w:hAnsi="Calibri" w:cs="Calibri"/>
          <w:bCs/>
          <w:sz w:val="22"/>
          <w:szCs w:val="22"/>
          <w:lang w:val="es-ES"/>
        </w:rPr>
        <w:tab/>
      </w:r>
      <w:r w:rsidR="008B07AA" w:rsidRPr="000973AC">
        <w:rPr>
          <w:rFonts w:ascii="Calibri" w:hAnsi="Calibri" w:cs="Calibri"/>
          <w:bCs/>
          <w:sz w:val="22"/>
          <w:szCs w:val="22"/>
          <w:lang w:val="es-ES"/>
        </w:rPr>
        <w:t>En contabilidad nacional se contabilizan por el criterio de devengo  y en contabilidad presupuestaria se reconoce la obligación con el vencimiento.</w:t>
      </w:r>
    </w:p>
    <w:p w:rsidR="008B07AA" w:rsidRPr="000973AC" w:rsidRDefault="008B07AA" w:rsidP="008B07AA">
      <w:pPr>
        <w:pStyle w:val="Estndar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0973AC">
        <w:rPr>
          <w:rFonts w:ascii="Calibri" w:hAnsi="Calibri" w:cs="Calibri"/>
          <w:bCs/>
          <w:sz w:val="22"/>
          <w:szCs w:val="22"/>
          <w:lang w:val="es-ES"/>
        </w:rPr>
        <w:t xml:space="preserve">Procede un ajuste negativo por los intereses devengados en el ejercicio n-1 y </w:t>
      </w:r>
      <w:r w:rsidR="00DC423B" w:rsidRPr="000973AC">
        <w:rPr>
          <w:rFonts w:ascii="Calibri" w:hAnsi="Calibri" w:cs="Calibri"/>
          <w:bCs/>
          <w:sz w:val="22"/>
          <w:szCs w:val="22"/>
          <w:lang w:val="es-ES"/>
        </w:rPr>
        <w:t xml:space="preserve">con vencimiento </w:t>
      </w:r>
      <w:r w:rsidRPr="000973AC">
        <w:rPr>
          <w:rFonts w:ascii="Calibri" w:hAnsi="Calibri" w:cs="Calibri"/>
          <w:bCs/>
          <w:sz w:val="22"/>
          <w:szCs w:val="22"/>
          <w:lang w:val="es-ES"/>
        </w:rPr>
        <w:t xml:space="preserve">en el ejercicio n, y un ajuste positivo por los intereses devengados en el ejercicio n y </w:t>
      </w:r>
      <w:r w:rsidR="00DC423B" w:rsidRPr="000973AC">
        <w:rPr>
          <w:rFonts w:ascii="Calibri" w:hAnsi="Calibri" w:cs="Calibri"/>
          <w:bCs/>
          <w:sz w:val="22"/>
          <w:szCs w:val="22"/>
          <w:lang w:val="es-ES"/>
        </w:rPr>
        <w:t xml:space="preserve">con vencimiento </w:t>
      </w:r>
      <w:r w:rsidRPr="000973AC">
        <w:rPr>
          <w:rFonts w:ascii="Calibri" w:hAnsi="Calibri" w:cs="Calibri"/>
          <w:bCs/>
          <w:sz w:val="22"/>
          <w:szCs w:val="22"/>
          <w:lang w:val="es-ES"/>
        </w:rPr>
        <w:t xml:space="preserve">en el ejercicio n+1. </w:t>
      </w:r>
    </w:p>
    <w:p w:rsidR="00DC423B" w:rsidRPr="000973AC" w:rsidRDefault="00DC423B" w:rsidP="008B07AA">
      <w:pPr>
        <w:pStyle w:val="Estndar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DC423B" w:rsidRDefault="00DC423B" w:rsidP="002959CD">
      <w:pPr>
        <w:spacing w:after="0" w:line="240" w:lineRule="auto"/>
        <w:jc w:val="center"/>
        <w:rPr>
          <w:rFonts w:cs="Calibri"/>
          <w:b/>
          <w:sz w:val="20"/>
          <w:szCs w:val="20"/>
          <w:highlight w:val="lightGray"/>
        </w:rPr>
      </w:pPr>
      <w:r w:rsidRPr="007C00B7">
        <w:rPr>
          <w:rFonts w:cs="Calibri"/>
          <w:b/>
          <w:sz w:val="20"/>
          <w:szCs w:val="20"/>
          <w:highlight w:val="lightGray"/>
        </w:rPr>
        <w:t>(</w:t>
      </w:r>
      <w:r w:rsidRPr="00A93F5A">
        <w:rPr>
          <w:rFonts w:cs="Calibri"/>
          <w:b/>
          <w:sz w:val="20"/>
          <w:szCs w:val="20"/>
          <w:highlight w:val="lightGray"/>
        </w:rPr>
        <w:t xml:space="preserve">Utilizar la hoja </w:t>
      </w:r>
      <w:r w:rsidR="005644A1" w:rsidRPr="00A93F5A">
        <w:rPr>
          <w:rFonts w:cs="Calibri"/>
          <w:b/>
          <w:sz w:val="20"/>
          <w:szCs w:val="20"/>
          <w:highlight w:val="lightGray"/>
        </w:rPr>
        <w:t>Excel</w:t>
      </w:r>
      <w:r w:rsidRPr="00A93F5A">
        <w:rPr>
          <w:rFonts w:cs="Calibri"/>
          <w:b/>
          <w:sz w:val="20"/>
          <w:szCs w:val="20"/>
          <w:highlight w:val="lightGray"/>
        </w:rPr>
        <w:t xml:space="preserve"> de Ajustes Estabilidad y copiar </w:t>
      </w:r>
      <w:r w:rsidR="00594729" w:rsidRPr="00A93F5A">
        <w:rPr>
          <w:rFonts w:cs="Calibri"/>
          <w:b/>
          <w:sz w:val="20"/>
          <w:szCs w:val="20"/>
          <w:highlight w:val="lightGray"/>
        </w:rPr>
        <w:t xml:space="preserve">la tabla </w:t>
      </w:r>
      <w:r w:rsidR="000D7C9E">
        <w:rPr>
          <w:rFonts w:cs="Calibri"/>
          <w:b/>
          <w:sz w:val="20"/>
          <w:szCs w:val="20"/>
          <w:highlight w:val="lightGray"/>
        </w:rPr>
        <w:t xml:space="preserve">"AJUSTE </w:t>
      </w:r>
      <w:r w:rsidRPr="00A93F5A">
        <w:rPr>
          <w:rFonts w:cs="Calibri"/>
          <w:b/>
          <w:sz w:val="20"/>
          <w:szCs w:val="20"/>
          <w:highlight w:val="lightGray"/>
        </w:rPr>
        <w:t>POR INTERESES Cap.3")</w:t>
      </w:r>
    </w:p>
    <w:p w:rsidR="0031669C" w:rsidRDefault="0031669C" w:rsidP="00DC423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3581"/>
        <w:gridCol w:w="1587"/>
        <w:gridCol w:w="1957"/>
        <w:gridCol w:w="1559"/>
      </w:tblGrid>
      <w:tr w:rsidR="0031669C" w:rsidRPr="0031669C" w:rsidTr="006B0CD7">
        <w:trPr>
          <w:trHeight w:val="315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556BAE">
            <w:pPr>
              <w:spacing w:before="6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 Intereses devengados en 202</w:t>
            </w:r>
            <w:r w:rsidR="000D7C9E">
              <w:rPr>
                <w:rFonts w:cs="Calibri"/>
                <w:color w:val="000000"/>
                <w:sz w:val="20"/>
                <w:szCs w:val="20"/>
                <w:lang w:eastAsia="es-ES"/>
              </w:rPr>
              <w:t>3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                                                                                         con vencimiento en 202</w:t>
            </w:r>
            <w:r w:rsidR="000D7C9E">
              <w:rPr>
                <w:rFonts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556BAE">
            <w:pPr>
              <w:spacing w:before="60"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0D7C9E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Intereses devengados en 2024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                                                                                      con vencimiento en 202</w:t>
            </w:r>
            <w:r w:rsidR="000D7C9E">
              <w:rPr>
                <w:rFonts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556BAE">
            <w:pPr>
              <w:spacing w:before="120" w:after="0" w:line="240" w:lineRule="auto"/>
              <w:jc w:val="center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Ajuste</w:t>
            </w:r>
          </w:p>
        </w:tc>
      </w:tr>
      <w:tr w:rsidR="0031669C" w:rsidRPr="0031669C" w:rsidTr="006B0CD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</w:p>
        </w:tc>
      </w:tr>
      <w:tr w:rsidR="0031669C" w:rsidRPr="0031669C" w:rsidTr="006B0CD7">
        <w:trPr>
          <w:trHeight w:val="31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</w:p>
        </w:tc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0,00</w:t>
            </w:r>
          </w:p>
        </w:tc>
      </w:tr>
    </w:tbl>
    <w:p w:rsidR="0031669C" w:rsidRPr="00A93F5A" w:rsidRDefault="0031669C" w:rsidP="00DC423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F94C69" w:rsidRDefault="00F94C69" w:rsidP="006165AC">
      <w:pPr>
        <w:spacing w:after="0" w:line="240" w:lineRule="auto"/>
        <w:jc w:val="both"/>
        <w:rPr>
          <w:rFonts w:cs="Calibri"/>
          <w:b/>
        </w:rPr>
      </w:pPr>
    </w:p>
    <w:p w:rsidR="00E04B13" w:rsidRDefault="00E04B13" w:rsidP="006165AC">
      <w:pPr>
        <w:spacing w:after="0" w:line="240" w:lineRule="auto"/>
        <w:jc w:val="both"/>
        <w:rPr>
          <w:rFonts w:cs="Calibri"/>
          <w:b/>
        </w:rPr>
      </w:pPr>
    </w:p>
    <w:p w:rsidR="00E04B13" w:rsidRPr="000973AC" w:rsidRDefault="00E04B13" w:rsidP="006165AC">
      <w:pPr>
        <w:spacing w:after="0" w:line="240" w:lineRule="auto"/>
        <w:jc w:val="both"/>
        <w:rPr>
          <w:rFonts w:cs="Calibri"/>
          <w:b/>
        </w:rPr>
      </w:pPr>
    </w:p>
    <w:p w:rsidR="003D4B85" w:rsidRPr="00443CB4" w:rsidRDefault="0027223A" w:rsidP="00E04B13">
      <w:pPr>
        <w:spacing w:after="120" w:line="240" w:lineRule="auto"/>
        <w:jc w:val="both"/>
        <w:rPr>
          <w:rFonts w:cs="Calibri"/>
          <w:b/>
        </w:rPr>
      </w:pPr>
      <w:r w:rsidRPr="00443CB4">
        <w:rPr>
          <w:rFonts w:cs="Calibri"/>
          <w:b/>
        </w:rPr>
        <w:lastRenderedPageBreak/>
        <w:t>● Ajuste por Gastos realizados en el ejercicio pendientes de aplicar al presupuesto</w:t>
      </w:r>
    </w:p>
    <w:p w:rsidR="00772BD6" w:rsidRPr="00443CB4" w:rsidRDefault="00BF0685" w:rsidP="00BF0685">
      <w:pPr>
        <w:spacing w:after="120" w:line="240" w:lineRule="auto"/>
        <w:jc w:val="both"/>
        <w:rPr>
          <w:rFonts w:cs="Calibri"/>
        </w:rPr>
      </w:pPr>
      <w:r w:rsidRPr="00443CB4">
        <w:rPr>
          <w:rFonts w:cs="Calibri"/>
        </w:rPr>
        <w:tab/>
      </w:r>
      <w:r w:rsidR="003D4B85" w:rsidRPr="00443CB4">
        <w:rPr>
          <w:rFonts w:cs="Calibri"/>
        </w:rPr>
        <w:t xml:space="preserve">La aplicación del principio de devengo del Sistema Europeo de Cuentas implica la imputación de cualquier gasto efectivamente realizado con independencia del momento en que se decida su imputación presupuestaria. </w:t>
      </w:r>
    </w:p>
    <w:p w:rsidR="002F23C6" w:rsidRPr="00443CB4" w:rsidRDefault="00BF0685" w:rsidP="00BF0685">
      <w:pPr>
        <w:spacing w:after="120" w:line="240" w:lineRule="auto"/>
        <w:jc w:val="both"/>
        <w:rPr>
          <w:rFonts w:cs="Calibri"/>
        </w:rPr>
      </w:pPr>
      <w:r w:rsidRPr="00443CB4">
        <w:rPr>
          <w:rFonts w:cs="Calibri"/>
        </w:rPr>
        <w:tab/>
      </w:r>
      <w:r w:rsidR="003F19DD" w:rsidRPr="00443CB4">
        <w:rPr>
          <w:rFonts w:cs="Calibri"/>
        </w:rPr>
        <w:t xml:space="preserve">Si el saldo final de la cuenta 413 “Acreedores por operaciones </w:t>
      </w:r>
      <w:r w:rsidR="00784966" w:rsidRPr="00443CB4">
        <w:rPr>
          <w:rFonts w:cs="Calibri"/>
        </w:rPr>
        <w:t xml:space="preserve">devengadas" </w:t>
      </w:r>
      <w:r w:rsidR="003F19DD" w:rsidRPr="00443CB4">
        <w:rPr>
          <w:rFonts w:cs="Calibri"/>
        </w:rPr>
        <w:t>es mayor (menor) al inicial se efectuará un ajuste como mayor (menor) gasto no financiero, aumentando (disminuyendo) el déficit no financiero.</w:t>
      </w:r>
    </w:p>
    <w:p w:rsidR="002F23C6" w:rsidRPr="00443CB4" w:rsidRDefault="00BF0685" w:rsidP="00BF0685">
      <w:pPr>
        <w:spacing w:after="120" w:line="240" w:lineRule="auto"/>
        <w:jc w:val="both"/>
        <w:rPr>
          <w:rFonts w:cs="Calibri"/>
        </w:rPr>
      </w:pPr>
      <w:r w:rsidRPr="00443CB4">
        <w:rPr>
          <w:rFonts w:cs="Calibri"/>
        </w:rPr>
        <w:tab/>
      </w:r>
      <w:r w:rsidR="00784966" w:rsidRPr="00443CB4">
        <w:rPr>
          <w:rFonts w:cs="Calibri"/>
        </w:rPr>
        <w:t xml:space="preserve">Se trata de </w:t>
      </w:r>
      <w:r w:rsidR="002F23C6" w:rsidRPr="00443CB4">
        <w:rPr>
          <w:rFonts w:cs="Calibri"/>
        </w:rPr>
        <w:t xml:space="preserve"> un ajuste que se ha llevado a cabo siempre en fase de </w:t>
      </w:r>
      <w:r w:rsidR="00DB16BC" w:rsidRPr="00443CB4">
        <w:rPr>
          <w:rFonts w:cs="Calibri"/>
        </w:rPr>
        <w:t>liquidación.</w:t>
      </w:r>
    </w:p>
    <w:p w:rsidR="003F19DD" w:rsidRPr="00443CB4" w:rsidRDefault="00BF0685" w:rsidP="00BF0685">
      <w:pPr>
        <w:spacing w:after="120" w:line="240" w:lineRule="auto"/>
        <w:jc w:val="both"/>
        <w:rPr>
          <w:rFonts w:cs="Calibri"/>
          <w:iCs/>
        </w:rPr>
      </w:pPr>
      <w:r w:rsidRPr="00443CB4">
        <w:rPr>
          <w:rFonts w:cs="Calibri"/>
          <w:iCs/>
        </w:rPr>
        <w:tab/>
      </w:r>
      <w:r w:rsidR="003F19DD" w:rsidRPr="00443CB4">
        <w:rPr>
          <w:rFonts w:cs="Calibri"/>
          <w:iCs/>
        </w:rPr>
        <w:t xml:space="preserve">Este ajuste </w:t>
      </w:r>
      <w:r w:rsidR="00F83797">
        <w:rPr>
          <w:rFonts w:cs="Calibri"/>
          <w:iCs/>
        </w:rPr>
        <w:t xml:space="preserve">en términos de </w:t>
      </w:r>
      <w:proofErr w:type="spellStart"/>
      <w:r w:rsidR="00F83797">
        <w:rPr>
          <w:rFonts w:cs="Calibri"/>
          <w:iCs/>
        </w:rPr>
        <w:t>presupuestación</w:t>
      </w:r>
      <w:proofErr w:type="spellEnd"/>
      <w:r w:rsidR="0017767D">
        <w:rPr>
          <w:rFonts w:cs="Calibri"/>
          <w:iCs/>
        </w:rPr>
        <w:t xml:space="preserve"> </w:t>
      </w:r>
      <w:r w:rsidR="003F19DD" w:rsidRPr="00443CB4">
        <w:rPr>
          <w:rFonts w:cs="Calibri"/>
          <w:iCs/>
        </w:rPr>
        <w:t>debería recoger la previsión de saldo entre el gasto que no se pueda ap</w:t>
      </w:r>
      <w:r w:rsidR="00B678E5" w:rsidRPr="00443CB4">
        <w:rPr>
          <w:rFonts w:cs="Calibri"/>
          <w:iCs/>
        </w:rPr>
        <w:t xml:space="preserve">licar a presupuesto durante </w:t>
      </w:r>
      <w:r w:rsidR="00B678E5" w:rsidRPr="00443CB4">
        <w:rPr>
          <w:rFonts w:cs="Calibri"/>
          <w:iCs/>
          <w:color w:val="0000FF"/>
        </w:rPr>
        <w:t>20</w:t>
      </w:r>
      <w:r w:rsidR="005D7298" w:rsidRPr="00443CB4">
        <w:rPr>
          <w:rFonts w:cs="Calibri"/>
          <w:iCs/>
          <w:color w:val="0000FF"/>
        </w:rPr>
        <w:t>2</w:t>
      </w:r>
      <w:r w:rsidR="000D7C9E">
        <w:rPr>
          <w:rFonts w:cs="Calibri"/>
          <w:iCs/>
          <w:color w:val="0000FF"/>
        </w:rPr>
        <w:t>4</w:t>
      </w:r>
      <w:r w:rsidR="003F19DD" w:rsidRPr="00443CB4">
        <w:rPr>
          <w:rFonts w:cs="Calibri"/>
          <w:iCs/>
        </w:rPr>
        <w:t xml:space="preserve"> y</w:t>
      </w:r>
      <w:r w:rsidR="00B678E5" w:rsidRPr="00443CB4">
        <w:rPr>
          <w:rFonts w:cs="Calibri"/>
          <w:iCs/>
        </w:rPr>
        <w:t xml:space="preserve"> el gasto que se imputará a </w:t>
      </w:r>
      <w:r w:rsidR="00B678E5" w:rsidRPr="00443CB4">
        <w:rPr>
          <w:rFonts w:cs="Calibri"/>
          <w:iCs/>
          <w:color w:val="0000FF"/>
        </w:rPr>
        <w:t>20</w:t>
      </w:r>
      <w:r w:rsidR="005D7298" w:rsidRPr="00443CB4">
        <w:rPr>
          <w:rFonts w:cs="Calibri"/>
          <w:iCs/>
          <w:color w:val="0000FF"/>
        </w:rPr>
        <w:t>2</w:t>
      </w:r>
      <w:r w:rsidR="000D7C9E">
        <w:rPr>
          <w:rFonts w:cs="Calibri"/>
          <w:iCs/>
          <w:color w:val="0000FF"/>
        </w:rPr>
        <w:t>4</w:t>
      </w:r>
      <w:r w:rsidR="003F19DD" w:rsidRPr="00443CB4">
        <w:rPr>
          <w:rFonts w:cs="Calibri"/>
          <w:iCs/>
        </w:rPr>
        <w:t xml:space="preserve"> procedente </w:t>
      </w:r>
      <w:r w:rsidR="002F7E23">
        <w:rPr>
          <w:rFonts w:cs="Calibri"/>
          <w:iCs/>
        </w:rPr>
        <w:t>de 202</w:t>
      </w:r>
      <w:r w:rsidR="000D7C9E">
        <w:rPr>
          <w:rFonts w:cs="Calibri"/>
          <w:iCs/>
        </w:rPr>
        <w:t>3</w:t>
      </w:r>
      <w:r w:rsidR="003C20E9" w:rsidRPr="00443CB4">
        <w:rPr>
          <w:rFonts w:cs="Calibri"/>
          <w:iCs/>
        </w:rPr>
        <w:t xml:space="preserve"> o ejercicios anteriores.</w:t>
      </w:r>
    </w:p>
    <w:p w:rsidR="006F2DD6" w:rsidRDefault="00BF0685" w:rsidP="00BF0685">
      <w:pPr>
        <w:spacing w:after="120" w:line="240" w:lineRule="auto"/>
        <w:jc w:val="both"/>
        <w:rPr>
          <w:i/>
          <w:sz w:val="20"/>
          <w:szCs w:val="20"/>
        </w:rPr>
      </w:pPr>
      <w:r w:rsidRPr="00443CB4">
        <w:rPr>
          <w:rFonts w:cs="Calibri"/>
        </w:rPr>
        <w:tab/>
      </w:r>
      <w:r w:rsidR="003F19DD" w:rsidRPr="00443CB4">
        <w:rPr>
          <w:rFonts w:cs="Calibri"/>
        </w:rPr>
        <w:t>En su caso deberá considerarse el saldo de la cuenta 555 por pagos pendientes de aplicación</w:t>
      </w:r>
      <w:r w:rsidR="00D5153F" w:rsidRPr="00443CB4">
        <w:rPr>
          <w:rFonts w:cs="Calibri"/>
        </w:rPr>
        <w:t xml:space="preserve"> </w:t>
      </w:r>
      <w:r w:rsidR="00D5153F" w:rsidRPr="005E2D94">
        <w:rPr>
          <w:rFonts w:cs="Calibri"/>
          <w:i/>
          <w:sz w:val="20"/>
          <w:szCs w:val="20"/>
          <w:highlight w:val="lightGray"/>
        </w:rPr>
        <w:t>.</w:t>
      </w:r>
      <w:r w:rsidR="00443CB4" w:rsidRPr="005E2D94">
        <w:rPr>
          <w:rFonts w:cs="Calibri"/>
          <w:i/>
          <w:sz w:val="20"/>
          <w:szCs w:val="20"/>
          <w:highlight w:val="lightGray"/>
        </w:rPr>
        <w:t xml:space="preserve">( sólo se </w:t>
      </w:r>
      <w:r w:rsidR="00E878CB" w:rsidRPr="005E2D94">
        <w:rPr>
          <w:rFonts w:cs="Calibri"/>
          <w:i/>
          <w:sz w:val="20"/>
          <w:szCs w:val="20"/>
          <w:highlight w:val="lightGray"/>
        </w:rPr>
        <w:t>recogerán</w:t>
      </w:r>
      <w:r w:rsidR="00443CB4" w:rsidRPr="005E2D94">
        <w:rPr>
          <w:rFonts w:cs="Calibri"/>
          <w:i/>
          <w:sz w:val="20"/>
          <w:szCs w:val="20"/>
          <w:highlight w:val="lightGray"/>
        </w:rPr>
        <w:t xml:space="preserve"> los pagos que no se han reflejado en la cuenta 413</w:t>
      </w:r>
      <w:r w:rsidR="00443CB4" w:rsidRPr="005E2D94">
        <w:rPr>
          <w:rFonts w:cs="Calibri"/>
          <w:i/>
          <w:sz w:val="20"/>
          <w:szCs w:val="20"/>
        </w:rPr>
        <w:t xml:space="preserve">) </w:t>
      </w:r>
      <w:r w:rsidR="00A7182C" w:rsidRPr="005E2D94">
        <w:rPr>
          <w:i/>
          <w:sz w:val="20"/>
          <w:szCs w:val="20"/>
        </w:rPr>
        <w:t xml:space="preserve"> </w:t>
      </w:r>
      <w:r w:rsidR="00003B43" w:rsidRPr="005E2D94">
        <w:rPr>
          <w:i/>
          <w:sz w:val="20"/>
          <w:szCs w:val="20"/>
        </w:rPr>
        <w:t>(</w:t>
      </w:r>
      <w:r w:rsidR="00443CB4" w:rsidRPr="005E2D94">
        <w:rPr>
          <w:i/>
          <w:sz w:val="20"/>
          <w:szCs w:val="20"/>
          <w:highlight w:val="lightGray"/>
        </w:rPr>
        <w:t xml:space="preserve">Este </w:t>
      </w:r>
      <w:r w:rsidR="00003B43" w:rsidRPr="005E2D94">
        <w:rPr>
          <w:i/>
          <w:sz w:val="20"/>
          <w:szCs w:val="20"/>
          <w:highlight w:val="lightGray"/>
        </w:rPr>
        <w:t xml:space="preserve">Ajuste que </w:t>
      </w:r>
      <w:r w:rsidR="00443CB4" w:rsidRPr="005E2D94">
        <w:rPr>
          <w:i/>
          <w:sz w:val="20"/>
          <w:szCs w:val="20"/>
          <w:highlight w:val="lightGray"/>
        </w:rPr>
        <w:t xml:space="preserve">aparecerá reflejado en el apartado </w:t>
      </w:r>
      <w:r w:rsidR="00003B43" w:rsidRPr="005E2D94">
        <w:rPr>
          <w:i/>
          <w:sz w:val="20"/>
          <w:szCs w:val="20"/>
          <w:highlight w:val="lightGray"/>
        </w:rPr>
        <w:t xml:space="preserve"> “Otros” en la EP</w:t>
      </w:r>
      <w:r w:rsidR="00443CB4" w:rsidRPr="00E04B13">
        <w:rPr>
          <w:i/>
          <w:sz w:val="20"/>
          <w:szCs w:val="20"/>
          <w:highlight w:val="lightGray"/>
        </w:rPr>
        <w:t>)</w:t>
      </w:r>
    </w:p>
    <w:p w:rsidR="00E04B13" w:rsidRPr="005E2D94" w:rsidRDefault="00E04B13" w:rsidP="00BF0685">
      <w:pPr>
        <w:spacing w:after="120" w:line="240" w:lineRule="auto"/>
        <w:jc w:val="both"/>
        <w:rPr>
          <w:rFonts w:cs="Calibri"/>
          <w:i/>
          <w:sz w:val="20"/>
          <w:szCs w:val="20"/>
        </w:rPr>
      </w:pPr>
    </w:p>
    <w:p w:rsidR="007C00B7" w:rsidRPr="007C00B7" w:rsidRDefault="00DC423B" w:rsidP="007C00B7">
      <w:pPr>
        <w:spacing w:after="0" w:line="240" w:lineRule="auto"/>
        <w:jc w:val="center"/>
        <w:rPr>
          <w:rFonts w:cs="Calibri"/>
          <w:b/>
          <w:sz w:val="20"/>
          <w:szCs w:val="20"/>
          <w:highlight w:val="lightGray"/>
        </w:rPr>
      </w:pPr>
      <w:r w:rsidRPr="007C00B7">
        <w:rPr>
          <w:rFonts w:cs="Calibri"/>
          <w:b/>
          <w:sz w:val="20"/>
          <w:szCs w:val="20"/>
          <w:highlight w:val="lightGray"/>
        </w:rPr>
        <w:t xml:space="preserve">(Utilizar la hoja </w:t>
      </w:r>
      <w:r w:rsidR="005644A1" w:rsidRPr="007C00B7">
        <w:rPr>
          <w:rFonts w:cs="Calibri"/>
          <w:b/>
          <w:sz w:val="20"/>
          <w:szCs w:val="20"/>
          <w:highlight w:val="lightGray"/>
        </w:rPr>
        <w:t>Excel</w:t>
      </w:r>
      <w:r w:rsidRPr="007C00B7">
        <w:rPr>
          <w:rFonts w:cs="Calibri"/>
          <w:b/>
          <w:sz w:val="20"/>
          <w:szCs w:val="20"/>
          <w:highlight w:val="lightGray"/>
        </w:rPr>
        <w:t xml:space="preserve"> de Ajustes Estabilidad y copiar </w:t>
      </w:r>
      <w:r w:rsidR="00594729" w:rsidRPr="007C00B7">
        <w:rPr>
          <w:rFonts w:cs="Calibri"/>
          <w:b/>
          <w:sz w:val="20"/>
          <w:szCs w:val="20"/>
          <w:highlight w:val="lightGray"/>
        </w:rPr>
        <w:t>la tabla</w:t>
      </w:r>
    </w:p>
    <w:p w:rsidR="00AC63EF" w:rsidRPr="007C00B7" w:rsidRDefault="00DC423B" w:rsidP="007C00B7">
      <w:pPr>
        <w:spacing w:after="0" w:line="240" w:lineRule="auto"/>
        <w:jc w:val="center"/>
        <w:rPr>
          <w:rFonts w:cs="Calibri"/>
          <w:b/>
          <w:sz w:val="20"/>
          <w:szCs w:val="20"/>
          <w:highlight w:val="lightGray"/>
        </w:rPr>
      </w:pPr>
      <w:r w:rsidRPr="007C00B7">
        <w:rPr>
          <w:rFonts w:cs="Calibri"/>
          <w:b/>
          <w:sz w:val="20"/>
          <w:szCs w:val="20"/>
          <w:highlight w:val="lightGray"/>
        </w:rPr>
        <w:t xml:space="preserve"> "</w:t>
      </w:r>
      <w:r w:rsidR="004713BE" w:rsidRPr="007C00B7">
        <w:rPr>
          <w:rFonts w:cs="Calibri"/>
          <w:b/>
          <w:sz w:val="20"/>
          <w:szCs w:val="20"/>
          <w:highlight w:val="lightGray"/>
        </w:rPr>
        <w:t>AJUSTE POR GASTOS PENDIENTES DE APLICAR A PRESUPUESTO</w:t>
      </w:r>
      <w:r w:rsidRPr="007C00B7">
        <w:rPr>
          <w:rFonts w:cs="Calibri"/>
          <w:b/>
          <w:sz w:val="20"/>
          <w:szCs w:val="20"/>
          <w:highlight w:val="lightGray"/>
        </w:rPr>
        <w:t>")</w:t>
      </w:r>
    </w:p>
    <w:p w:rsidR="0031669C" w:rsidRDefault="0031669C" w:rsidP="0052465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E04B13" w:rsidRPr="00443CB4" w:rsidRDefault="00E04B13" w:rsidP="0052465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260"/>
        <w:gridCol w:w="2460"/>
        <w:gridCol w:w="2040"/>
      </w:tblGrid>
      <w:tr w:rsidR="0031669C" w:rsidRPr="0031669C" w:rsidTr="002A03AB">
        <w:trPr>
          <w:trHeight w:val="315"/>
        </w:trPr>
        <w:tc>
          <w:tcPr>
            <w:tcW w:w="2580" w:type="dxa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69C" w:rsidRPr="0031669C" w:rsidRDefault="0031669C" w:rsidP="00970584">
            <w:pPr>
              <w:spacing w:after="12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Saldo a 1 de enero de 202</w:t>
            </w:r>
            <w:r w:rsidR="00F83797">
              <w:rPr>
                <w:rFonts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69C" w:rsidRPr="0031669C" w:rsidRDefault="0031669C" w:rsidP="00970584">
            <w:pPr>
              <w:spacing w:after="12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Estimación de saldo a 31 de diciembre de 202</w:t>
            </w:r>
            <w:r w:rsidR="00F83797">
              <w:rPr>
                <w:rFonts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69C" w:rsidRPr="0031669C" w:rsidRDefault="0031669C" w:rsidP="00970584">
            <w:pPr>
              <w:spacing w:after="12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Diferencia saldo 202</w:t>
            </w:r>
            <w:r w:rsidR="00F83797">
              <w:rPr>
                <w:rFonts w:cs="Calibri"/>
                <w:color w:val="000000"/>
                <w:sz w:val="20"/>
                <w:szCs w:val="20"/>
                <w:lang w:eastAsia="es-ES"/>
              </w:rPr>
              <w:t>4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 </w:t>
            </w: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Ajuste</w:t>
            </w:r>
          </w:p>
        </w:tc>
      </w:tr>
      <w:tr w:rsidR="0031669C" w:rsidRPr="0031669C" w:rsidTr="002A03AB">
        <w:trPr>
          <w:trHeight w:val="435"/>
        </w:trPr>
        <w:tc>
          <w:tcPr>
            <w:tcW w:w="2580" w:type="dxa"/>
            <w:vMerge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1669C" w:rsidRPr="0031669C" w:rsidTr="002A03AB">
        <w:trPr>
          <w:trHeight w:val="31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23693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Cuenta </w:t>
            </w:r>
            <w:r w:rsidR="00236938">
              <w:rPr>
                <w:rFonts w:cs="Calibri"/>
                <w:color w:val="000000"/>
                <w:sz w:val="20"/>
                <w:szCs w:val="20"/>
                <w:lang w:eastAsia="es-ES"/>
              </w:rPr>
              <w:t>413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(</w:t>
            </w:r>
            <w:r w:rsidR="00236938">
              <w:rPr>
                <w:rFonts w:cs="Calibri"/>
                <w:color w:val="000000"/>
                <w:sz w:val="20"/>
                <w:szCs w:val="20"/>
                <w:lang w:eastAsia="es-ES"/>
              </w:rPr>
              <w:t>Acreedores por operaciones devengadas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97058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970584">
        <w:trPr>
          <w:trHeight w:val="46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970584">
            <w:pPr>
              <w:spacing w:after="12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236938" w:rsidRPr="0031669C" w:rsidTr="007235BE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38" w:rsidRPr="0031669C" w:rsidRDefault="00236938" w:rsidP="007235B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Cuenta 555 (Pagos pendientes de aplicación)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6938" w:rsidRPr="0031669C" w:rsidRDefault="00236938" w:rsidP="007235B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6938" w:rsidRPr="0031669C" w:rsidRDefault="00236938" w:rsidP="007235B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6938" w:rsidRPr="0031669C" w:rsidRDefault="00236938" w:rsidP="007235B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938" w:rsidRPr="0031669C" w:rsidTr="007235BE">
        <w:trPr>
          <w:trHeight w:val="46"/>
        </w:trPr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938" w:rsidRPr="0031669C" w:rsidRDefault="00236938" w:rsidP="007235B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236938" w:rsidRPr="0031669C" w:rsidRDefault="00236938" w:rsidP="007235B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236938" w:rsidRPr="0031669C" w:rsidRDefault="00236938" w:rsidP="007235B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6938" w:rsidRPr="0031669C" w:rsidRDefault="00236938" w:rsidP="007235BE">
            <w:pPr>
              <w:spacing w:after="12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</w:tbl>
    <w:p w:rsidR="00930CF5" w:rsidRDefault="00930CF5" w:rsidP="00524657">
      <w:pPr>
        <w:spacing w:after="0" w:line="240" w:lineRule="auto"/>
        <w:jc w:val="both"/>
        <w:rPr>
          <w:rFonts w:cs="Calibri"/>
        </w:rPr>
      </w:pPr>
    </w:p>
    <w:p w:rsidR="00524657" w:rsidRDefault="00524657" w:rsidP="00E2248E">
      <w:pPr>
        <w:spacing w:after="0" w:line="240" w:lineRule="auto"/>
        <w:jc w:val="center"/>
        <w:rPr>
          <w:rFonts w:cs="Calibri"/>
        </w:rPr>
      </w:pPr>
    </w:p>
    <w:p w:rsidR="00E91E90" w:rsidRDefault="00E91E90" w:rsidP="00E91E90">
      <w:pPr>
        <w:spacing w:after="0" w:line="240" w:lineRule="auto"/>
        <w:jc w:val="both"/>
        <w:rPr>
          <w:rFonts w:cs="Calibri"/>
        </w:rPr>
      </w:pPr>
      <w:r w:rsidRPr="00E91E90">
        <w:rPr>
          <w:rFonts w:cs="Calibri"/>
          <w:b/>
        </w:rPr>
        <w:t>En Ingresos</w:t>
      </w:r>
      <w:r>
        <w:rPr>
          <w:rFonts w:cs="Calibri"/>
        </w:rPr>
        <w:t xml:space="preserve">: </w:t>
      </w:r>
      <w:r w:rsidRPr="00E91E90">
        <w:rPr>
          <w:rFonts w:cs="Calibri"/>
          <w:u w:val="single"/>
        </w:rPr>
        <w:t>los ajustes positivos</w:t>
      </w:r>
      <w:r>
        <w:rPr>
          <w:rFonts w:cs="Calibri"/>
        </w:rPr>
        <w:t xml:space="preserve"> del Presupuesto de Ingresos aumentan la capacidad de </w:t>
      </w:r>
      <w:r w:rsidR="005F7CB3">
        <w:rPr>
          <w:rFonts w:cs="Calibri"/>
        </w:rPr>
        <w:t>financiación</w:t>
      </w:r>
      <w:r>
        <w:rPr>
          <w:rFonts w:cs="Calibri"/>
        </w:rPr>
        <w:t xml:space="preserve"> y los </w:t>
      </w:r>
      <w:r w:rsidRPr="005F7CB3">
        <w:rPr>
          <w:rFonts w:cs="Calibri"/>
          <w:u w:val="single"/>
        </w:rPr>
        <w:t>ajustes negativos</w:t>
      </w:r>
      <w:r>
        <w:rPr>
          <w:rFonts w:cs="Calibri"/>
        </w:rPr>
        <w:t xml:space="preserve"> disminuyen la capacidad de financiación. </w:t>
      </w:r>
      <w:r w:rsidRPr="005F7CB3">
        <w:rPr>
          <w:rFonts w:cs="Calibri"/>
          <w:b/>
        </w:rPr>
        <w:t>En Gastos</w:t>
      </w:r>
      <w:r>
        <w:rPr>
          <w:rFonts w:cs="Calibri"/>
        </w:rPr>
        <w:t xml:space="preserve">: los </w:t>
      </w:r>
      <w:r w:rsidRPr="005F7CB3">
        <w:rPr>
          <w:rFonts w:cs="Calibri"/>
          <w:u w:val="single"/>
        </w:rPr>
        <w:t>ajustes positivos</w:t>
      </w:r>
      <w:r>
        <w:rPr>
          <w:rFonts w:cs="Calibri"/>
        </w:rPr>
        <w:t xml:space="preserve"> del Presupuesto de Gastos disminuyen la capacidad de financiación y los </w:t>
      </w:r>
      <w:r w:rsidRPr="005F7CB3">
        <w:rPr>
          <w:rFonts w:cs="Calibri"/>
          <w:u w:val="single"/>
        </w:rPr>
        <w:t>ajustes negativos</w:t>
      </w:r>
      <w:r>
        <w:rPr>
          <w:rFonts w:cs="Calibri"/>
        </w:rPr>
        <w:t xml:space="preserve"> aumentan la capacidad de financiación.</w:t>
      </w:r>
    </w:p>
    <w:p w:rsidR="00F57C1C" w:rsidRPr="000973AC" w:rsidRDefault="00F57C1C" w:rsidP="00E91E90">
      <w:pPr>
        <w:spacing w:after="0" w:line="240" w:lineRule="auto"/>
        <w:jc w:val="both"/>
        <w:rPr>
          <w:rFonts w:cs="Calibri"/>
        </w:rPr>
      </w:pPr>
    </w:p>
    <w:p w:rsidR="00AE417B" w:rsidRDefault="001B2734" w:rsidP="00DA0BD9">
      <w:pPr>
        <w:spacing w:after="0" w:line="240" w:lineRule="auto"/>
        <w:jc w:val="both"/>
        <w:rPr>
          <w:rFonts w:cs="Calibri"/>
          <w:b/>
          <w:color w:val="0000FF"/>
        </w:rPr>
      </w:pPr>
      <w:r w:rsidRPr="000973AC">
        <w:rPr>
          <w:rFonts w:cs="Calibri"/>
          <w:b/>
          <w:color w:val="000000"/>
        </w:rPr>
        <w:t xml:space="preserve">CÁLCULO DE LA CAPACIDAD / NECESIDAD DE FINANCIACIÓN DEL PRESUPUESTO GENERAL DEL AYUNTAMIENTO PARA </w:t>
      </w:r>
      <w:r w:rsidR="002F7E23">
        <w:rPr>
          <w:rFonts w:cs="Calibri"/>
          <w:b/>
          <w:color w:val="0000FF"/>
        </w:rPr>
        <w:t>202</w:t>
      </w:r>
      <w:r w:rsidR="00FB50BB">
        <w:rPr>
          <w:rFonts w:cs="Calibri"/>
          <w:b/>
          <w:color w:val="0000FF"/>
        </w:rPr>
        <w:t>4</w:t>
      </w:r>
      <w:r w:rsidR="00AE417B" w:rsidRPr="000973AC">
        <w:rPr>
          <w:rFonts w:cs="Calibri"/>
          <w:b/>
          <w:color w:val="0000FF"/>
        </w:rPr>
        <w:t>.</w:t>
      </w:r>
    </w:p>
    <w:p w:rsidR="00276ECD" w:rsidRDefault="00276ECD" w:rsidP="00DA0BD9">
      <w:pPr>
        <w:spacing w:after="0" w:line="240" w:lineRule="auto"/>
        <w:jc w:val="both"/>
        <w:rPr>
          <w:rFonts w:cs="Calibri"/>
          <w:b/>
          <w:color w:val="0000FF"/>
        </w:rPr>
      </w:pPr>
    </w:p>
    <w:p w:rsidR="00E04B13" w:rsidRPr="000973AC" w:rsidRDefault="00E04B13" w:rsidP="00DA0BD9">
      <w:pPr>
        <w:spacing w:after="0" w:line="240" w:lineRule="auto"/>
        <w:jc w:val="both"/>
        <w:rPr>
          <w:rFonts w:cs="Calibri"/>
          <w:b/>
          <w:color w:val="0000FF"/>
        </w:rPr>
      </w:pPr>
    </w:p>
    <w:p w:rsidR="00930CF5" w:rsidRDefault="00930CF5" w:rsidP="00E04B1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A93F5A">
        <w:rPr>
          <w:rFonts w:cs="Calibri"/>
          <w:b/>
          <w:sz w:val="20"/>
          <w:szCs w:val="20"/>
        </w:rPr>
        <w:t>(</w:t>
      </w:r>
      <w:r w:rsidRPr="00A93F5A">
        <w:rPr>
          <w:rFonts w:cs="Calibri"/>
          <w:b/>
          <w:sz w:val="20"/>
          <w:szCs w:val="20"/>
          <w:highlight w:val="lightGray"/>
        </w:rPr>
        <w:t xml:space="preserve">Utilizar la hoja </w:t>
      </w:r>
      <w:r w:rsidR="0088446D" w:rsidRPr="00A93F5A">
        <w:rPr>
          <w:rFonts w:cs="Calibri"/>
          <w:b/>
          <w:sz w:val="20"/>
          <w:szCs w:val="20"/>
          <w:highlight w:val="lightGray"/>
        </w:rPr>
        <w:t>Excel</w:t>
      </w:r>
      <w:r w:rsidR="000973AC" w:rsidRPr="00A93F5A">
        <w:rPr>
          <w:rFonts w:cs="Calibri"/>
          <w:b/>
          <w:sz w:val="20"/>
          <w:szCs w:val="20"/>
          <w:highlight w:val="lightGray"/>
        </w:rPr>
        <w:t xml:space="preserve"> ES</w:t>
      </w:r>
      <w:r w:rsidR="00594729" w:rsidRPr="00A93F5A">
        <w:rPr>
          <w:rFonts w:cs="Calibri"/>
          <w:b/>
          <w:sz w:val="20"/>
          <w:szCs w:val="20"/>
          <w:highlight w:val="lightGray"/>
        </w:rPr>
        <w:t>TABILIDAD PRESUPUESTARIA</w:t>
      </w:r>
      <w:r w:rsidR="004713BE" w:rsidRPr="00A93F5A">
        <w:rPr>
          <w:rFonts w:cs="Calibri"/>
          <w:b/>
          <w:sz w:val="20"/>
          <w:szCs w:val="20"/>
          <w:highlight w:val="lightGray"/>
        </w:rPr>
        <w:t xml:space="preserve">, </w:t>
      </w:r>
      <w:r w:rsidR="00594729" w:rsidRPr="00A93F5A">
        <w:rPr>
          <w:rFonts w:cs="Calibri"/>
          <w:b/>
          <w:sz w:val="20"/>
          <w:szCs w:val="20"/>
          <w:highlight w:val="lightGray"/>
        </w:rPr>
        <w:t>y</w:t>
      </w:r>
      <w:r w:rsidRPr="00A93F5A">
        <w:rPr>
          <w:rFonts w:cs="Calibri"/>
          <w:b/>
          <w:sz w:val="20"/>
          <w:szCs w:val="20"/>
          <w:highlight w:val="lightGray"/>
        </w:rPr>
        <w:t xml:space="preserve"> copiar la tabla)</w:t>
      </w:r>
    </w:p>
    <w:p w:rsidR="00D11024" w:rsidRDefault="00D11024" w:rsidP="00930CF5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E04B13" w:rsidRDefault="00E04B13" w:rsidP="00930CF5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2E7E5D" w:rsidRPr="00E07E96" w:rsidRDefault="002E7E5D" w:rsidP="00E07E96">
      <w:pPr>
        <w:spacing w:after="0" w:line="240" w:lineRule="auto"/>
        <w:ind w:left="426"/>
        <w:jc w:val="both"/>
        <w:rPr>
          <w:rFonts w:eastAsia="Calibri" w:cs="Calibri"/>
          <w:sz w:val="20"/>
          <w:szCs w:val="20"/>
          <w:lang w:eastAsia="es-ES"/>
        </w:rPr>
      </w:pPr>
      <w:r w:rsidRPr="00E07E96">
        <w:rPr>
          <w:rFonts w:eastAsia="Calibri" w:cs="Calibri"/>
          <w:sz w:val="20"/>
          <w:szCs w:val="20"/>
          <w:highlight w:val="lightGray"/>
          <w:lang w:eastAsia="es-ES"/>
        </w:rPr>
        <w:t>(1) Si se incluye este ajuste, en "Observaciones", se hará una breve explicación del contenido de este ajuste.</w:t>
      </w:r>
    </w:p>
    <w:p w:rsidR="008115BF" w:rsidRPr="00E07E96" w:rsidRDefault="0077309C" w:rsidP="00E07E96">
      <w:pPr>
        <w:spacing w:after="0" w:line="240" w:lineRule="auto"/>
        <w:ind w:left="426"/>
        <w:jc w:val="both"/>
        <w:rPr>
          <w:rFonts w:eastAsia="Calibri" w:cs="Calibri"/>
          <w:sz w:val="20"/>
          <w:szCs w:val="20"/>
          <w:highlight w:val="lightGray"/>
          <w:lang w:eastAsia="es-ES"/>
        </w:rPr>
      </w:pPr>
      <w:r w:rsidRPr="00E07E96">
        <w:rPr>
          <w:rFonts w:eastAsia="Calibri" w:cs="Calibri"/>
          <w:sz w:val="20"/>
          <w:szCs w:val="20"/>
          <w:highlight w:val="lightGray"/>
          <w:lang w:eastAsia="es-ES"/>
        </w:rPr>
        <w:t xml:space="preserve">(2) Ajuste por inversiones realizadas por una entidad no integrada en la </w:t>
      </w:r>
      <w:r w:rsidR="008115BF" w:rsidRPr="00E07E96">
        <w:rPr>
          <w:rFonts w:eastAsia="Calibri" w:cs="Calibri"/>
          <w:sz w:val="20"/>
          <w:szCs w:val="20"/>
          <w:highlight w:val="lightGray"/>
          <w:lang w:eastAsia="es-ES"/>
        </w:rPr>
        <w:t>Corporación</w:t>
      </w:r>
      <w:r w:rsidRPr="00E07E96">
        <w:rPr>
          <w:rFonts w:eastAsia="Calibri" w:cs="Calibri"/>
          <w:sz w:val="20"/>
          <w:szCs w:val="20"/>
          <w:highlight w:val="lightGray"/>
          <w:lang w:eastAsia="es-ES"/>
        </w:rPr>
        <w:t xml:space="preserve"> Local para la entidad local</w:t>
      </w:r>
      <w:r w:rsidR="008115BF" w:rsidRPr="00E07E96">
        <w:rPr>
          <w:rFonts w:eastAsia="Calibri" w:cs="Calibri"/>
          <w:sz w:val="20"/>
          <w:szCs w:val="20"/>
          <w:highlight w:val="lightGray"/>
          <w:lang w:eastAsia="es-ES"/>
        </w:rPr>
        <w:t>.</w:t>
      </w:r>
    </w:p>
    <w:p w:rsidR="008115BF" w:rsidRPr="00E07E96" w:rsidRDefault="008115BF" w:rsidP="00E07E96">
      <w:pPr>
        <w:spacing w:after="0" w:line="240" w:lineRule="auto"/>
        <w:ind w:left="426"/>
        <w:jc w:val="both"/>
        <w:rPr>
          <w:rFonts w:eastAsia="Calibri" w:cs="Calibri"/>
          <w:sz w:val="20"/>
          <w:szCs w:val="20"/>
          <w:lang w:eastAsia="es-ES"/>
        </w:rPr>
      </w:pPr>
      <w:r w:rsidRPr="00E07E96">
        <w:rPr>
          <w:rFonts w:eastAsia="Calibri" w:cs="Calibri"/>
          <w:sz w:val="20"/>
          <w:szCs w:val="20"/>
          <w:highlight w:val="lightGray"/>
          <w:lang w:eastAsia="es-ES"/>
        </w:rPr>
        <w:t>(3) Ajuste por inversiones realizadas por la entidad para una entidad no perteneciente a la Corporación Local.</w:t>
      </w:r>
    </w:p>
    <w:p w:rsidR="002A68D4" w:rsidRDefault="002A68D4" w:rsidP="002A68D4">
      <w:pPr>
        <w:autoSpaceDE w:val="0"/>
        <w:autoSpaceDN w:val="0"/>
        <w:adjustRightInd w:val="0"/>
        <w:spacing w:after="240" w:line="240" w:lineRule="auto"/>
        <w:jc w:val="both"/>
        <w:rPr>
          <w:rFonts w:cs="Calibri"/>
          <w:lang w:eastAsia="es-ES"/>
        </w:rPr>
      </w:pPr>
    </w:p>
    <w:p w:rsidR="007A3235" w:rsidRDefault="00546FEC" w:rsidP="002A68D4">
      <w:pPr>
        <w:autoSpaceDE w:val="0"/>
        <w:autoSpaceDN w:val="0"/>
        <w:adjustRightInd w:val="0"/>
        <w:spacing w:after="240" w:line="240" w:lineRule="auto"/>
        <w:jc w:val="both"/>
        <w:rPr>
          <w:rFonts w:cs="Calibri"/>
          <w:b/>
          <w:lang w:eastAsia="es-ES"/>
        </w:rPr>
      </w:pPr>
      <w:r>
        <w:rPr>
          <w:rFonts w:cs="Calibri"/>
          <w:b/>
          <w:sz w:val="24"/>
          <w:szCs w:val="24"/>
          <w:u w:val="single"/>
          <w:lang w:eastAsia="es-ES"/>
        </w:rPr>
        <w:lastRenderedPageBreak/>
        <w:t>CONCLUSIÓ</w:t>
      </w:r>
      <w:r w:rsidR="00F57C1C" w:rsidRPr="002A68D4">
        <w:rPr>
          <w:rFonts w:cs="Calibri"/>
          <w:b/>
          <w:sz w:val="24"/>
          <w:szCs w:val="24"/>
          <w:u w:val="single"/>
          <w:lang w:eastAsia="es-ES"/>
        </w:rPr>
        <w:t>N</w:t>
      </w:r>
      <w:r w:rsidR="002A68D4">
        <w:rPr>
          <w:rFonts w:cs="Calibri"/>
          <w:b/>
          <w:sz w:val="24"/>
          <w:szCs w:val="24"/>
          <w:lang w:eastAsia="es-ES"/>
        </w:rPr>
        <w:t xml:space="preserve">: </w:t>
      </w:r>
      <w:r w:rsidR="007A3235" w:rsidRPr="000973AC">
        <w:rPr>
          <w:rFonts w:cs="Calibri"/>
          <w:lang w:eastAsia="es-ES"/>
        </w:rPr>
        <w:t xml:space="preserve">De los datos que anteceden el Presupuesto General del ejercicio </w:t>
      </w:r>
      <w:r w:rsidR="002E277E">
        <w:rPr>
          <w:rFonts w:cs="Calibri"/>
          <w:color w:val="0000FF"/>
          <w:lang w:eastAsia="es-ES"/>
        </w:rPr>
        <w:t>202</w:t>
      </w:r>
      <w:r w:rsidR="00FB50BB">
        <w:rPr>
          <w:rFonts w:cs="Calibri"/>
          <w:color w:val="0000FF"/>
          <w:lang w:eastAsia="es-ES"/>
        </w:rPr>
        <w:t>4</w:t>
      </w:r>
      <w:r w:rsidR="007A3235" w:rsidRPr="000973AC">
        <w:rPr>
          <w:rFonts w:cs="Calibri"/>
          <w:lang w:eastAsia="es-ES"/>
        </w:rPr>
        <w:t xml:space="preserve"> </w:t>
      </w:r>
      <w:r w:rsidR="00D43582">
        <w:rPr>
          <w:rFonts w:cs="Calibri"/>
          <w:lang w:eastAsia="es-ES"/>
        </w:rPr>
        <w:t xml:space="preserve">presenta </w:t>
      </w:r>
      <w:r w:rsidR="00D43582">
        <w:rPr>
          <w:rFonts w:cs="Calibri"/>
          <w:b/>
          <w:color w:val="0000FF"/>
          <w:lang w:eastAsia="es-ES"/>
        </w:rPr>
        <w:t>CAPACIDAD DE FINANCIACIÓ</w:t>
      </w:r>
      <w:r w:rsidR="00D43582" w:rsidRPr="00D43582">
        <w:rPr>
          <w:rFonts w:cs="Calibri"/>
          <w:b/>
          <w:color w:val="0000FF"/>
          <w:lang w:eastAsia="es-ES"/>
        </w:rPr>
        <w:t>N</w:t>
      </w:r>
      <w:r w:rsidR="00742120" w:rsidRPr="000973AC">
        <w:rPr>
          <w:rFonts w:cs="Calibri"/>
          <w:b/>
          <w:caps/>
          <w:lang w:eastAsia="es-ES"/>
        </w:rPr>
        <w:t xml:space="preserve">/ </w:t>
      </w:r>
      <w:r w:rsidR="00D43582">
        <w:rPr>
          <w:rFonts w:cs="Calibri"/>
          <w:b/>
          <w:caps/>
          <w:color w:val="FF0000"/>
          <w:lang w:eastAsia="es-ES"/>
        </w:rPr>
        <w:t>NECESIDAD DE FINANCIACIÓN</w:t>
      </w:r>
      <w:r w:rsidR="00D43582" w:rsidRPr="00A93F5A">
        <w:rPr>
          <w:rFonts w:cs="Calibri"/>
          <w:i/>
          <w:caps/>
          <w:sz w:val="20"/>
          <w:szCs w:val="20"/>
          <w:highlight w:val="lightGray"/>
          <w:lang w:eastAsia="es-ES"/>
        </w:rPr>
        <w:t xml:space="preserve"> (</w:t>
      </w:r>
      <w:r w:rsidR="00742120" w:rsidRPr="00A93F5A">
        <w:rPr>
          <w:rFonts w:cs="Calibri"/>
          <w:i/>
          <w:sz w:val="20"/>
          <w:szCs w:val="20"/>
          <w:highlight w:val="lightGray"/>
          <w:lang w:eastAsia="es-ES"/>
        </w:rPr>
        <w:t>eliminar lo que no proceda</w:t>
      </w:r>
      <w:r w:rsidR="00742120" w:rsidRPr="000973AC">
        <w:rPr>
          <w:rFonts w:cs="Calibri"/>
          <w:i/>
          <w:highlight w:val="lightGray"/>
          <w:lang w:eastAsia="es-ES"/>
        </w:rPr>
        <w:t>)</w:t>
      </w:r>
      <w:r w:rsidR="00742120" w:rsidRPr="000973AC">
        <w:rPr>
          <w:rFonts w:cs="Calibri"/>
          <w:b/>
          <w:lang w:eastAsia="es-ES"/>
        </w:rPr>
        <w:t xml:space="preserve"> </w:t>
      </w:r>
    </w:p>
    <w:p w:rsidR="0031669C" w:rsidRDefault="0031669C" w:rsidP="007A32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es-ES"/>
        </w:rPr>
      </w:pPr>
    </w:p>
    <w:tbl>
      <w:tblPr>
        <w:tblW w:w="8200" w:type="dxa"/>
        <w:tblInd w:w="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880"/>
      </w:tblGrid>
      <w:tr w:rsidR="0031669C" w:rsidRPr="0031669C" w:rsidTr="00E04B13">
        <w:trPr>
          <w:trHeight w:val="300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9C" w:rsidRPr="0031669C" w:rsidRDefault="0031669C" w:rsidP="00FB50B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PRESUPUESTO </w:t>
            </w: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202</w:t>
            </w:r>
            <w:r w:rsidR="00FB50BB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FF0000"/>
                <w:sz w:val="20"/>
                <w:szCs w:val="20"/>
                <w:lang w:eastAsia="es-ES"/>
              </w:rPr>
              <w:t>a)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Suma de los Capítulos  1 a 7 de Ingresos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FF0000"/>
                <w:sz w:val="20"/>
                <w:szCs w:val="20"/>
                <w:lang w:eastAsia="es-ES"/>
              </w:rPr>
              <w:t>b)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Suma de los Capítulos  1 a 7 de Gastos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FF0000"/>
                <w:sz w:val="20"/>
                <w:szCs w:val="20"/>
                <w:lang w:eastAsia="es-ES"/>
              </w:rPr>
              <w:t>c)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 Total capacidad/necesidad de financiación antes de ajustes (a-b)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 xml:space="preserve">AJUSTES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Ajuste por recaudación ingresos Capítulo 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Ajuste por recaudación ingresos Capítulo 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Ajuste por recaudación ingresos Capítulo 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(+) Ajuste por liquidación PTE - 2008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(+) Ajuste por liquidación PTE - 2009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(+/-) Ajustes por liquidación PTE ejercicios distintos  a 2008 y 2009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Intereses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Diferencias de cambio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(+/-) Ajuste por grado de ejecución del gasto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Inversiones realizadas por Cuenta Corporación Local (2)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Ingresos por Ventas de Acciones (privatizaciones)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Dividendos y Participación en beneficios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Ingresos obtenidos del presupuesto de la Unión Europea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Operaciones de permuta financiera (SWAPS)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Operaciones de reintegro y ejecución de avales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Aportaciones de Capital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Asunción y cancelación de deudas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51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FF"/>
                <w:sz w:val="20"/>
                <w:szCs w:val="20"/>
                <w:lang w:eastAsia="es-ES"/>
              </w:rPr>
              <w:t>Gastos realizados en el ejercicio pendientes de aplicar a presupuesto (cuenta 413 según Orden HAC/1364/2018)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Adquisiciones con pago aplazado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Arrendamiento financiero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Contratos de asociación publico privada (</w:t>
            </w:r>
            <w:proofErr w:type="spellStart"/>
            <w:r w:rsidRPr="0031669C">
              <w:rPr>
                <w:rFonts w:cs="Calibri"/>
                <w:sz w:val="20"/>
                <w:szCs w:val="20"/>
                <w:lang w:eastAsia="es-ES"/>
              </w:rPr>
              <w:t>APP's</w:t>
            </w:r>
            <w:proofErr w:type="spellEnd"/>
            <w:r w:rsidRPr="0031669C">
              <w:rPr>
                <w:rFonts w:cs="Calibri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Inversiones realizadas por cuenta de otra Administración Publica (3)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Préstamos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Devoluciones de ingresos pendientes de aplicar a presupuesto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Consolidación de transferencia con otras Administraciones Publicas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i/>
                <w:iCs/>
                <w:color w:val="000000"/>
                <w:sz w:val="20"/>
                <w:szCs w:val="20"/>
                <w:lang w:eastAsia="es-ES"/>
              </w:rPr>
              <w:t>Otros (1)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FF0000"/>
                <w:sz w:val="20"/>
                <w:szCs w:val="20"/>
                <w:lang w:eastAsia="es-ES"/>
              </w:rPr>
              <w:t xml:space="preserve">d) </w:t>
            </w: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Total ajustes al Presupuesto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FF0000"/>
                <w:sz w:val="20"/>
                <w:szCs w:val="20"/>
                <w:lang w:eastAsia="es-ES"/>
              </w:rPr>
              <w:t>e)</w:t>
            </w:r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Capacidad/Necesidad de financiación (c +/-d)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E04B13">
        <w:trPr>
          <w:trHeight w:val="3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En </w:t>
            </w:r>
            <w:proofErr w:type="spellStart"/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porcetaje</w:t>
            </w:r>
            <w:proofErr w:type="spellEnd"/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sobre ingresos no financieros ( e/a)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#¡DIV/0!</w:t>
            </w:r>
          </w:p>
        </w:tc>
      </w:tr>
      <w:tr w:rsidR="0031669C" w:rsidRPr="0031669C" w:rsidTr="00E04B13">
        <w:trPr>
          <w:trHeight w:val="300"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CAPACIDAD DE FINANCIACION</w:t>
            </w:r>
          </w:p>
        </w:tc>
      </w:tr>
    </w:tbl>
    <w:p w:rsidR="00DC05CF" w:rsidRDefault="00DC05CF" w:rsidP="007A32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es-ES"/>
        </w:rPr>
      </w:pPr>
    </w:p>
    <w:p w:rsidR="002A68D4" w:rsidRDefault="002A68D4" w:rsidP="009E502D">
      <w:pPr>
        <w:jc w:val="both"/>
        <w:rPr>
          <w:rFonts w:cs="Calibri"/>
          <w:b/>
        </w:rPr>
      </w:pPr>
    </w:p>
    <w:p w:rsidR="00806B5D" w:rsidRPr="000973AC" w:rsidRDefault="00EA239D" w:rsidP="00546FEC">
      <w:pPr>
        <w:ind w:left="708" w:hanging="708"/>
        <w:jc w:val="both"/>
        <w:rPr>
          <w:rFonts w:cs="Calibri"/>
          <w:b/>
        </w:rPr>
      </w:pPr>
      <w:r w:rsidRPr="000973AC">
        <w:rPr>
          <w:rFonts w:cs="Calibri"/>
          <w:b/>
        </w:rPr>
        <w:lastRenderedPageBreak/>
        <w:t>4</w:t>
      </w:r>
      <w:r w:rsidR="009E502D" w:rsidRPr="000973AC">
        <w:rPr>
          <w:rFonts w:cs="Calibri"/>
          <w:b/>
        </w:rPr>
        <w:t>.- INFORME DEL NIVEL DE</w:t>
      </w:r>
      <w:r w:rsidR="00806B5D" w:rsidRPr="000973AC">
        <w:rPr>
          <w:rFonts w:cs="Calibri"/>
          <w:b/>
        </w:rPr>
        <w:t xml:space="preserve"> DEUDA</w:t>
      </w:r>
      <w:r w:rsidR="009E502D" w:rsidRPr="000973AC">
        <w:rPr>
          <w:rFonts w:cs="Calibri"/>
          <w:b/>
        </w:rPr>
        <w:t xml:space="preserve"> VIVA</w:t>
      </w:r>
    </w:p>
    <w:p w:rsidR="002B7D03" w:rsidRPr="0008611E" w:rsidRDefault="00806B5D" w:rsidP="00F57C1C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0973AC">
        <w:rPr>
          <w:rFonts w:cs="Calibri"/>
          <w:lang w:eastAsia="es-ES"/>
        </w:rPr>
        <w:tab/>
      </w:r>
      <w:r w:rsidRPr="0008611E">
        <w:rPr>
          <w:rFonts w:cs="Calibri"/>
          <w:lang w:eastAsia="es-ES"/>
        </w:rPr>
        <w:t xml:space="preserve">Para la Administración local resultan de aplicación los límites legales tradicionales del </w:t>
      </w:r>
      <w:r w:rsidR="00450B95" w:rsidRPr="0008611E">
        <w:rPr>
          <w:rFonts w:cs="Calibri"/>
          <w:lang w:eastAsia="es-ES"/>
        </w:rPr>
        <w:t>artículo</w:t>
      </w:r>
      <w:r w:rsidR="00C13B98" w:rsidRPr="0008611E">
        <w:rPr>
          <w:rFonts w:cs="Calibri"/>
          <w:lang w:eastAsia="es-ES"/>
        </w:rPr>
        <w:t xml:space="preserve"> 53 del TRLRHL </w:t>
      </w:r>
      <w:r w:rsidRPr="0008611E">
        <w:rPr>
          <w:rFonts w:cs="Calibri"/>
          <w:lang w:eastAsia="es-ES"/>
        </w:rPr>
        <w:t>para la</w:t>
      </w:r>
      <w:r w:rsidR="00B816AE" w:rsidRPr="0008611E">
        <w:rPr>
          <w:rFonts w:cs="Calibri"/>
          <w:lang w:eastAsia="es-ES"/>
        </w:rPr>
        <w:t xml:space="preserve"> concertación</w:t>
      </w:r>
      <w:r w:rsidRPr="0008611E">
        <w:rPr>
          <w:rFonts w:cs="Calibri"/>
          <w:lang w:eastAsia="es-ES"/>
        </w:rPr>
        <w:t xml:space="preserve"> de nuev</w:t>
      </w:r>
      <w:r w:rsidR="00976440" w:rsidRPr="0008611E">
        <w:rPr>
          <w:rFonts w:cs="Calibri"/>
          <w:lang w:eastAsia="es-ES"/>
        </w:rPr>
        <w:t xml:space="preserve">as operaciones de endeudamiento, </w:t>
      </w:r>
      <w:r w:rsidR="00976440" w:rsidRPr="0008611E">
        <w:rPr>
          <w:rFonts w:cs="Calibri"/>
        </w:rPr>
        <w:t>que lo fija en el 110% de los ingresos corrientes liquidados, considerando lo dispuesto en la Disposición Final Trigésimo primera de la LPGE para 2013.</w:t>
      </w:r>
      <w:r w:rsidR="00BA1EED" w:rsidRPr="0008611E">
        <w:t xml:space="preserve"> </w:t>
      </w:r>
    </w:p>
    <w:p w:rsidR="00806B5D" w:rsidRPr="000973AC" w:rsidRDefault="00806B5D" w:rsidP="00BF0685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lang w:eastAsia="es-ES"/>
        </w:rPr>
      </w:pPr>
      <w:r w:rsidRPr="0008611E">
        <w:rPr>
          <w:rFonts w:cs="Calibri"/>
          <w:lang w:eastAsia="es-ES"/>
        </w:rPr>
        <w:tab/>
        <w:t xml:space="preserve">De los datos e </w:t>
      </w:r>
      <w:r w:rsidR="00B816AE" w:rsidRPr="0008611E">
        <w:rPr>
          <w:rFonts w:cs="Calibri"/>
          <w:lang w:eastAsia="es-ES"/>
        </w:rPr>
        <w:t>información</w:t>
      </w:r>
      <w:r w:rsidRPr="0008611E">
        <w:rPr>
          <w:rFonts w:cs="Calibri"/>
          <w:lang w:eastAsia="es-ES"/>
        </w:rPr>
        <w:t xml:space="preserve"> </w:t>
      </w:r>
      <w:r w:rsidR="00B816AE" w:rsidRPr="0008611E">
        <w:rPr>
          <w:rFonts w:cs="Calibri"/>
          <w:lang w:eastAsia="es-ES"/>
        </w:rPr>
        <w:t>complementaria</w:t>
      </w:r>
      <w:r w:rsidRPr="0008611E">
        <w:rPr>
          <w:rFonts w:cs="Calibri"/>
          <w:lang w:eastAsia="es-ES"/>
        </w:rPr>
        <w:t xml:space="preserve"> del Presupuesto General se obtiene el nivel de deuda viva que exis</w:t>
      </w:r>
      <w:r w:rsidR="00A066AE" w:rsidRPr="0008611E">
        <w:rPr>
          <w:rFonts w:cs="Calibri"/>
          <w:lang w:eastAsia="es-ES"/>
        </w:rPr>
        <w:t xml:space="preserve">tirá al final del ejercicio </w:t>
      </w:r>
      <w:r w:rsidR="00A066AE" w:rsidRPr="0008611E">
        <w:rPr>
          <w:rFonts w:cs="Calibri"/>
          <w:color w:val="0000FF"/>
          <w:lang w:eastAsia="es-ES"/>
        </w:rPr>
        <w:t>20</w:t>
      </w:r>
      <w:r w:rsidR="00596181">
        <w:rPr>
          <w:rFonts w:cs="Calibri"/>
          <w:color w:val="0000FF"/>
          <w:lang w:eastAsia="es-ES"/>
        </w:rPr>
        <w:t>2</w:t>
      </w:r>
      <w:r w:rsidR="00A24BB4">
        <w:rPr>
          <w:rFonts w:cs="Calibri"/>
          <w:color w:val="0000FF"/>
          <w:lang w:eastAsia="es-ES"/>
        </w:rPr>
        <w:t>4</w:t>
      </w:r>
      <w:r w:rsidRPr="0008611E">
        <w:rPr>
          <w:rFonts w:cs="Calibri"/>
          <w:lang w:eastAsia="es-ES"/>
        </w:rPr>
        <w:t xml:space="preserve"> en </w:t>
      </w:r>
      <w:r w:rsidR="00450B95" w:rsidRPr="0008611E">
        <w:rPr>
          <w:rFonts w:cs="Calibri"/>
          <w:lang w:eastAsia="es-ES"/>
        </w:rPr>
        <w:t>relación</w:t>
      </w:r>
      <w:r w:rsidRPr="0008611E">
        <w:rPr>
          <w:rFonts w:cs="Calibri"/>
          <w:lang w:eastAsia="es-ES"/>
        </w:rPr>
        <w:t xml:space="preserve"> con los ingresos corrientes</w:t>
      </w:r>
      <w:r w:rsidR="00C55F11" w:rsidRPr="0008611E">
        <w:rPr>
          <w:rFonts w:cs="Calibri"/>
          <w:lang w:eastAsia="es-ES"/>
        </w:rPr>
        <w:t xml:space="preserve"> liquidados de la </w:t>
      </w:r>
      <w:proofErr w:type="spellStart"/>
      <w:r w:rsidR="00C55F11" w:rsidRPr="0008611E">
        <w:rPr>
          <w:rFonts w:cs="Calibri"/>
          <w:lang w:eastAsia="es-ES"/>
        </w:rPr>
        <w:t>ultima</w:t>
      </w:r>
      <w:proofErr w:type="spellEnd"/>
      <w:r w:rsidR="00C55F11" w:rsidRPr="0008611E">
        <w:rPr>
          <w:rFonts w:cs="Calibri"/>
          <w:lang w:eastAsia="es-ES"/>
        </w:rPr>
        <w:t xml:space="preserve"> liquidación del ejercicio____ </w:t>
      </w:r>
      <w:r w:rsidRPr="0008611E">
        <w:rPr>
          <w:rFonts w:cs="Calibri"/>
          <w:lang w:eastAsia="es-ES"/>
        </w:rPr>
        <w:t>:</w:t>
      </w:r>
    </w:p>
    <w:p w:rsidR="00806B5D" w:rsidRPr="000973AC" w:rsidRDefault="00806B5D" w:rsidP="00E04B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eastAsia="es-ES"/>
        </w:rPr>
      </w:pPr>
    </w:p>
    <w:p w:rsidR="00806B5D" w:rsidRPr="00A93F5A" w:rsidRDefault="00C55F11" w:rsidP="00E04B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E04B13">
        <w:rPr>
          <w:rFonts w:cs="Calibri"/>
          <w:b/>
          <w:sz w:val="20"/>
          <w:szCs w:val="20"/>
          <w:highlight w:val="lightGray"/>
        </w:rPr>
        <w:t>(</w:t>
      </w:r>
      <w:r w:rsidRPr="00A93F5A">
        <w:rPr>
          <w:rFonts w:cs="Calibri"/>
          <w:b/>
          <w:sz w:val="20"/>
          <w:szCs w:val="20"/>
          <w:highlight w:val="lightGray"/>
        </w:rPr>
        <w:t>Utilizar la hoja Excel</w:t>
      </w:r>
      <w:r w:rsidR="00594729" w:rsidRPr="00A93F5A">
        <w:rPr>
          <w:rFonts w:cs="Calibri"/>
          <w:b/>
          <w:sz w:val="20"/>
          <w:szCs w:val="20"/>
          <w:highlight w:val="lightGray"/>
        </w:rPr>
        <w:t xml:space="preserve"> NIVEL DEUDA </w:t>
      </w:r>
      <w:r w:rsidRPr="00A93F5A">
        <w:rPr>
          <w:rFonts w:cs="Calibri"/>
          <w:b/>
          <w:sz w:val="20"/>
          <w:szCs w:val="20"/>
          <w:highlight w:val="lightGray"/>
        </w:rPr>
        <w:t xml:space="preserve"> y copiar la tabla )</w:t>
      </w:r>
    </w:p>
    <w:p w:rsidR="00C55F11" w:rsidRPr="000973AC" w:rsidRDefault="00C55F11" w:rsidP="00806B5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tbl>
      <w:tblPr>
        <w:tblW w:w="9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960"/>
        <w:gridCol w:w="2460"/>
      </w:tblGrid>
      <w:tr w:rsidR="0031669C" w:rsidRPr="0031669C" w:rsidTr="0031669C">
        <w:trPr>
          <w:trHeight w:val="315"/>
        </w:trPr>
        <w:tc>
          <w:tcPr>
            <w:tcW w:w="9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E04B13">
            <w:pPr>
              <w:spacing w:after="6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A) NIVEL DEUDA PREVISTA A </w:t>
            </w: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31-12-202</w:t>
            </w:r>
            <w:r w:rsidR="00A24BB4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4</w:t>
            </w:r>
          </w:p>
        </w:tc>
      </w:tr>
      <w:tr w:rsidR="0031669C" w:rsidRPr="0031669C" w:rsidTr="0031669C">
        <w:trPr>
          <w:trHeight w:val="525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Deuda a corto plazo</w:t>
            </w:r>
            <w:r w:rsidRPr="0031669C">
              <w:rPr>
                <w:rFonts w:cs="Calibri"/>
                <w:sz w:val="20"/>
                <w:szCs w:val="20"/>
                <w:lang w:eastAsia="es-ES"/>
              </w:rPr>
              <w:t xml:space="preserve"> (operaciones de tesorería  )</w:t>
            </w:r>
            <w:r w:rsidRPr="0031669C">
              <w:rPr>
                <w:rFonts w:cs="Calibri"/>
                <w:i/>
                <w:iCs/>
                <w:sz w:val="20"/>
                <w:szCs w:val="20"/>
                <w:lang w:eastAsia="es-ES"/>
              </w:rPr>
              <w:t>(importe dispuesto pendiente de amortizar según Reglamento 479/2009 del Consejo de Europa)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Confirming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Emisiones de deuda a corto plazo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69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 xml:space="preserve">Operaciones de crédito a largo plazo </w:t>
            </w:r>
            <w:r w:rsidRPr="0031669C">
              <w:rPr>
                <w:rFonts w:cs="Calibri"/>
                <w:i/>
                <w:iCs/>
                <w:sz w:val="20"/>
                <w:szCs w:val="20"/>
                <w:lang w:eastAsia="es-ES"/>
              </w:rPr>
              <w:t>(importe dispuesto pendiente de amortizar según Reglamento 479/2009 del Consejo de Europa)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Operaciones con entidades de crédito residentes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Operaciones con entidades de crédito no residentes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Deuda con el FFEL (1)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Operaciones con Institutos Autonómicos de Finanzas no clasificados como AAPP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Otras operaciones de c</w:t>
            </w:r>
            <w:r w:rsidR="006A09EB">
              <w:rPr>
                <w:rFonts w:cs="Calibri"/>
                <w:sz w:val="20"/>
                <w:szCs w:val="20"/>
                <w:lang w:eastAsia="es-ES"/>
              </w:rPr>
              <w:t>r</w:t>
            </w:r>
            <w:r w:rsidRPr="0031669C">
              <w:rPr>
                <w:rFonts w:cs="Calibri"/>
                <w:sz w:val="20"/>
                <w:szCs w:val="20"/>
                <w:lang w:eastAsia="es-ES"/>
              </w:rPr>
              <w:t>édito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Emisiones de deuda a largo plazo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Arrendamiento financiero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Asociaciones público-privadas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Factoring</w:t>
            </w:r>
            <w:proofErr w:type="spellEnd"/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 xml:space="preserve"> sin recursos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Reestructuracion</w:t>
            </w:r>
            <w:proofErr w:type="spellEnd"/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 xml:space="preserve"> de deuda comercial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Otras operaciones de deuda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00FF"/>
                <w:sz w:val="20"/>
                <w:szCs w:val="20"/>
                <w:lang w:eastAsia="es-ES"/>
              </w:rPr>
              <w:t>Total Deuda viva PDE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54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Endeudamiento a efectos de la aplicación del régimen de autorización recogido en el artículo 53 TRLRHL y DF 31ª LPGE 2013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TOTAL DEUDA PDE 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6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RIESGO DEDUCIDO DE AVALES  (2)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6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Capital vivo de las operaciones avaladas a entidades dependientes clasificadas como SNF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Capital vivo de las operaciones avaladas a entidades dependientes sin clasificar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Capital vivo de las operaciones avaladas a otras entidades no dependientes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lastRenderedPageBreak/>
              <w:t>OPERACIONES DE CRÉDITO FORMALIZADAS Y NO DISPUESTAS (3)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A corto plazo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A largo plazo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 xml:space="preserve"> OPERACIONES DE CRÉDITO CON ADMINISTRACIONES PUBLICAS (4)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 xml:space="preserve">Con la Administración General del Estado  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 xml:space="preserve">Con la Comunidad Autónoma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42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Con la Diputación Provincial u otras EELL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 xml:space="preserve"> Con otras Administraciones Publicas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Otras deudas (5)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6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CAPITAL VIVO A EFECTOS DEL ART.53 TRLRHL Y LA DF 31 LPGE 2013 (1+2+3+4+5)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30"/>
        </w:trPr>
        <w:tc>
          <w:tcPr>
            <w:tcW w:w="9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sz w:val="20"/>
                <w:szCs w:val="20"/>
                <w:lang w:eastAsia="es-ES"/>
              </w:rPr>
              <w:t>B) INGRESOS CORRIENTES LIQUIDADOS ULTIMA LIQUIDACION EJERCICIO 20___</w:t>
            </w:r>
          </w:p>
        </w:tc>
      </w:tr>
      <w:tr w:rsidR="0031669C" w:rsidRPr="0031669C" w:rsidTr="0031669C">
        <w:trPr>
          <w:trHeight w:val="81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1669C" w:rsidRPr="0031669C" w:rsidRDefault="0031669C" w:rsidP="00A24BB4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 xml:space="preserve">    a) Derechos netos liquidados </w:t>
            </w:r>
            <w:r w:rsidR="00A24BB4">
              <w:rPr>
                <w:rFonts w:cs="Calibri"/>
                <w:sz w:val="20"/>
                <w:szCs w:val="20"/>
                <w:lang w:eastAsia="es-ES"/>
              </w:rPr>
              <w:t>en el ú</w:t>
            </w:r>
            <w:r w:rsidRPr="0031669C">
              <w:rPr>
                <w:rFonts w:cs="Calibri"/>
                <w:sz w:val="20"/>
                <w:szCs w:val="20"/>
                <w:lang w:eastAsia="es-ES"/>
              </w:rPr>
              <w:t>ltimo ejercicio por operaciones corriente (Cap. I a V)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1275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 xml:space="preserve">    b)</w:t>
            </w:r>
            <w:r w:rsidRPr="0031669C">
              <w:rPr>
                <w:rFonts w:cs="Calibri"/>
                <w:b/>
                <w:bCs/>
                <w:sz w:val="28"/>
                <w:szCs w:val="28"/>
                <w:lang w:eastAsia="es-ES"/>
              </w:rPr>
              <w:t xml:space="preserve"> -</w:t>
            </w:r>
            <w:r w:rsidRPr="0031669C">
              <w:rPr>
                <w:rFonts w:cs="Calibri"/>
                <w:sz w:val="20"/>
                <w:szCs w:val="20"/>
                <w:lang w:eastAsia="es-ES"/>
              </w:rPr>
              <w:t>Derechos liquidados  de los  capítulos I a V  afectados a operaciones de capital y cualesquiera otros ingresos extraordinarios aplicados a dichos capítulos que, por su afectación legal y/o carácter no recurrente no tienen la consideración de ingresos ordinarios.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sz w:val="20"/>
                <w:szCs w:val="20"/>
                <w:lang w:eastAsia="es-ES"/>
              </w:rPr>
              <w:t> 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TOTAL INGRESOS AJUSTADOS (a-b)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9C" w:rsidRPr="0031669C" w:rsidRDefault="0031669C" w:rsidP="0031669C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0,00</w:t>
            </w:r>
          </w:p>
        </w:tc>
      </w:tr>
      <w:tr w:rsidR="0031669C" w:rsidRPr="0031669C" w:rsidTr="0031669C">
        <w:trPr>
          <w:trHeight w:val="330"/>
        </w:trPr>
        <w:tc>
          <w:tcPr>
            <w:tcW w:w="7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b/>
                <w:bCs/>
                <w:color w:val="0033CC"/>
                <w:sz w:val="20"/>
                <w:szCs w:val="20"/>
                <w:lang w:eastAsia="es-ES"/>
              </w:rPr>
              <w:t>C) PORCENTAJE DEUDA/INGRESOS CORRIENTES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69C" w:rsidRPr="0031669C" w:rsidRDefault="0031669C" w:rsidP="0031669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s-ES"/>
              </w:rPr>
            </w:pPr>
            <w:r w:rsidRPr="0031669C">
              <w:rPr>
                <w:rFonts w:cs="Calibri"/>
                <w:color w:val="000000"/>
                <w:sz w:val="20"/>
                <w:szCs w:val="20"/>
                <w:lang w:eastAsia="es-ES"/>
              </w:rPr>
              <w:t>#¡DIV/0!</w:t>
            </w:r>
          </w:p>
        </w:tc>
      </w:tr>
    </w:tbl>
    <w:p w:rsidR="00C55F11" w:rsidRPr="000973AC" w:rsidRDefault="00C55F11" w:rsidP="00806B5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1F0BD0" w:rsidRPr="00E07E96" w:rsidRDefault="00C568A5" w:rsidP="00635D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635D47">
        <w:rPr>
          <w:rFonts w:eastAsia="Calibri" w:cs="Calibri"/>
          <w:i/>
          <w:sz w:val="20"/>
          <w:szCs w:val="20"/>
          <w:highlight w:val="lightGray"/>
        </w:rPr>
        <w:t>(1)</w:t>
      </w:r>
      <w:r w:rsidR="00C23A79" w:rsidRPr="00635D47">
        <w:rPr>
          <w:i/>
          <w:sz w:val="20"/>
          <w:szCs w:val="20"/>
          <w:highlight w:val="lightGray"/>
        </w:rPr>
        <w:t xml:space="preserve"> En las deudas con las Administraciones Públicas únicamente se incluirán los préstamos con el Fondo de Financiación a Entidades Locales, que incluye el Fondo de Impulso Económico, el Fondo de Ordenación y el Fondo en liquidación para la financiación de los Pagos a Proveedores de EELL, en este último tanto si se han instrumentado través de una operación de endeudamiento, como a través de la participación en los tributos del Estado (PTE). </w:t>
      </w:r>
    </w:p>
    <w:p w:rsidR="00E037CA" w:rsidRPr="000973AC" w:rsidRDefault="00E037CA" w:rsidP="00C13B98">
      <w:pPr>
        <w:spacing w:after="0" w:line="240" w:lineRule="auto"/>
        <w:jc w:val="both"/>
        <w:rPr>
          <w:rFonts w:cs="Calibri"/>
          <w:i/>
        </w:rPr>
      </w:pPr>
    </w:p>
    <w:p w:rsidR="00E037CA" w:rsidRPr="000973AC" w:rsidRDefault="00546FEC" w:rsidP="00E037CA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sz w:val="24"/>
          <w:szCs w:val="24"/>
          <w:u w:val="single"/>
        </w:rPr>
        <w:t>CONCLUSIÓ</w:t>
      </w:r>
      <w:r w:rsidR="00DC05CF" w:rsidRPr="002A68D4">
        <w:rPr>
          <w:rFonts w:cs="Calibri"/>
          <w:b/>
          <w:sz w:val="24"/>
          <w:szCs w:val="24"/>
          <w:u w:val="single"/>
        </w:rPr>
        <w:t>N</w:t>
      </w:r>
      <w:r w:rsidR="002A68D4">
        <w:rPr>
          <w:rFonts w:cs="Calibri"/>
          <w:b/>
          <w:sz w:val="24"/>
          <w:szCs w:val="24"/>
        </w:rPr>
        <w:t xml:space="preserve">: </w:t>
      </w:r>
      <w:r w:rsidR="002A68D4" w:rsidRPr="002A68D4">
        <w:rPr>
          <w:rFonts w:cs="Calibri"/>
          <w:sz w:val="24"/>
          <w:szCs w:val="24"/>
        </w:rPr>
        <w:t>E</w:t>
      </w:r>
      <w:r w:rsidR="00B6575E" w:rsidRPr="002A68D4">
        <w:rPr>
          <w:rFonts w:cs="Calibri"/>
        </w:rPr>
        <w:t>l</w:t>
      </w:r>
      <w:r w:rsidR="00E037CA" w:rsidRPr="002A68D4">
        <w:rPr>
          <w:rFonts w:cs="Calibri"/>
        </w:rPr>
        <w:t xml:space="preserve"> </w:t>
      </w:r>
      <w:r w:rsidR="00E037CA" w:rsidRPr="000973AC">
        <w:rPr>
          <w:rFonts w:cs="Calibri"/>
        </w:rPr>
        <w:t xml:space="preserve">nivel de deuda viva a 31 de diciembre de </w:t>
      </w:r>
      <w:r w:rsidR="00E037CA" w:rsidRPr="000973AC">
        <w:rPr>
          <w:rFonts w:cs="Calibri"/>
          <w:color w:val="0000FF"/>
        </w:rPr>
        <w:t>20</w:t>
      </w:r>
      <w:r w:rsidR="00596181">
        <w:rPr>
          <w:rFonts w:cs="Calibri"/>
          <w:color w:val="0000FF"/>
        </w:rPr>
        <w:t>2</w:t>
      </w:r>
      <w:r w:rsidR="0017767D">
        <w:rPr>
          <w:rFonts w:cs="Calibri"/>
          <w:color w:val="0000FF"/>
        </w:rPr>
        <w:t>4</w:t>
      </w:r>
      <w:r w:rsidR="00E037CA" w:rsidRPr="000973AC">
        <w:rPr>
          <w:rFonts w:cs="Calibri"/>
        </w:rPr>
        <w:t xml:space="preserve"> </w:t>
      </w:r>
      <w:r w:rsidR="00E037CA" w:rsidRPr="000973AC">
        <w:rPr>
          <w:rFonts w:cs="Calibri"/>
          <w:b/>
          <w:color w:val="FF0000"/>
        </w:rPr>
        <w:t>supera</w:t>
      </w:r>
      <w:r w:rsidR="00E037CA" w:rsidRPr="000973AC">
        <w:rPr>
          <w:rFonts w:cs="Calibri"/>
          <w:b/>
          <w:color w:val="0000FF"/>
        </w:rPr>
        <w:t xml:space="preserve">/ no supera </w:t>
      </w:r>
      <w:r w:rsidR="00E037CA" w:rsidRPr="00A93F5A">
        <w:rPr>
          <w:rFonts w:cs="Calibri"/>
          <w:sz w:val="20"/>
          <w:szCs w:val="20"/>
        </w:rPr>
        <w:t>(</w:t>
      </w:r>
      <w:r w:rsidR="00E037CA" w:rsidRPr="00A93F5A">
        <w:rPr>
          <w:rFonts w:cs="Calibri"/>
          <w:i/>
          <w:sz w:val="20"/>
          <w:szCs w:val="20"/>
          <w:highlight w:val="lightGray"/>
        </w:rPr>
        <w:t>eliminar lo que no procede)</w:t>
      </w:r>
      <w:r w:rsidR="00E037CA" w:rsidRPr="000973AC">
        <w:rPr>
          <w:rFonts w:cs="Calibri"/>
        </w:rPr>
        <w:t xml:space="preserve"> el 110% de los ingresos corrientes, límite previsto en el artículo 53 </w:t>
      </w:r>
      <w:r w:rsidR="00A24BB4">
        <w:rPr>
          <w:rFonts w:cs="Calibri"/>
        </w:rPr>
        <w:t>TRLRHL</w:t>
      </w:r>
      <w:r w:rsidR="00E037CA" w:rsidRPr="000973AC">
        <w:rPr>
          <w:rFonts w:cs="Calibri"/>
        </w:rPr>
        <w:t>.</w:t>
      </w:r>
    </w:p>
    <w:p w:rsidR="00C95B28" w:rsidRPr="000973AC" w:rsidRDefault="00C95B28" w:rsidP="00C13B98">
      <w:pPr>
        <w:spacing w:after="0" w:line="240" w:lineRule="auto"/>
        <w:jc w:val="both"/>
        <w:rPr>
          <w:rFonts w:cs="Calibri"/>
          <w:color w:val="0000FF"/>
        </w:rPr>
      </w:pPr>
    </w:p>
    <w:p w:rsidR="002B76D9" w:rsidRPr="000973AC" w:rsidRDefault="002B76D9" w:rsidP="002452C5">
      <w:pPr>
        <w:tabs>
          <w:tab w:val="left" w:pos="1020"/>
        </w:tabs>
        <w:jc w:val="center"/>
        <w:rPr>
          <w:rFonts w:cs="Calibri"/>
        </w:rPr>
      </w:pPr>
      <w:r w:rsidRPr="000973AC">
        <w:rPr>
          <w:rFonts w:cs="Calibri"/>
        </w:rPr>
        <w:t>En _______________a____ de_____________20__</w:t>
      </w:r>
    </w:p>
    <w:p w:rsidR="00B36980" w:rsidRDefault="002B76D9" w:rsidP="002E4AF8">
      <w:pPr>
        <w:tabs>
          <w:tab w:val="left" w:pos="1020"/>
        </w:tabs>
        <w:jc w:val="center"/>
        <w:rPr>
          <w:rFonts w:cs="Calibri"/>
        </w:rPr>
      </w:pPr>
      <w:r w:rsidRPr="000973AC">
        <w:rPr>
          <w:rFonts w:cs="Calibri"/>
        </w:rPr>
        <w:t>EL</w:t>
      </w:r>
      <w:r w:rsidR="00981391">
        <w:rPr>
          <w:rFonts w:cs="Calibri"/>
        </w:rPr>
        <w:t>/LA</w:t>
      </w:r>
      <w:r w:rsidRPr="000973AC">
        <w:rPr>
          <w:rFonts w:cs="Calibri"/>
        </w:rPr>
        <w:t xml:space="preserve"> SECRETARIO</w:t>
      </w:r>
      <w:r w:rsidR="00981391">
        <w:rPr>
          <w:rFonts w:cs="Calibri"/>
        </w:rPr>
        <w:t>/A</w:t>
      </w:r>
      <w:r w:rsidRPr="000973AC">
        <w:rPr>
          <w:rFonts w:cs="Calibri"/>
        </w:rPr>
        <w:t>-INTERVENTOR</w:t>
      </w:r>
      <w:r w:rsidR="002452C5">
        <w:rPr>
          <w:rFonts w:cs="Calibri"/>
        </w:rPr>
        <w:t>/</w:t>
      </w:r>
      <w:r w:rsidR="00981391">
        <w:rPr>
          <w:rFonts w:cs="Calibri"/>
        </w:rPr>
        <w:t xml:space="preserve">A o EL/LA </w:t>
      </w:r>
      <w:r w:rsidR="002452C5">
        <w:rPr>
          <w:rFonts w:cs="Calibri"/>
        </w:rPr>
        <w:t>INTERVENTOR</w:t>
      </w:r>
      <w:r w:rsidR="00981391">
        <w:rPr>
          <w:rFonts w:cs="Calibri"/>
        </w:rPr>
        <w:t>/A</w:t>
      </w:r>
      <w:bookmarkStart w:id="1" w:name="_GoBack"/>
      <w:bookmarkEnd w:id="1"/>
    </w:p>
    <w:p w:rsidR="002452C5" w:rsidRDefault="002452C5" w:rsidP="002E4AF8">
      <w:pPr>
        <w:tabs>
          <w:tab w:val="left" w:pos="1020"/>
        </w:tabs>
        <w:jc w:val="center"/>
        <w:rPr>
          <w:rFonts w:cs="Calibri"/>
        </w:rPr>
      </w:pPr>
    </w:p>
    <w:p w:rsidR="002452C5" w:rsidRDefault="002452C5" w:rsidP="002E4AF8">
      <w:pPr>
        <w:tabs>
          <w:tab w:val="left" w:pos="1020"/>
        </w:tabs>
        <w:jc w:val="center"/>
        <w:rPr>
          <w:rFonts w:cs="Calibri"/>
        </w:rPr>
      </w:pPr>
    </w:p>
    <w:p w:rsidR="002452C5" w:rsidRPr="006B5F72" w:rsidRDefault="002452C5" w:rsidP="002E4AF8">
      <w:pPr>
        <w:tabs>
          <w:tab w:val="left" w:pos="1020"/>
        </w:tabs>
        <w:jc w:val="center"/>
        <w:rPr>
          <w:rFonts w:cs="Calibri"/>
        </w:rPr>
      </w:pPr>
      <w:r>
        <w:rPr>
          <w:rFonts w:cs="Calibri"/>
        </w:rPr>
        <w:t>Fdo.: ____________________________________</w:t>
      </w:r>
    </w:p>
    <w:sectPr w:rsidR="002452C5" w:rsidRPr="006B5F72" w:rsidSect="00D61051">
      <w:head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B6" w:rsidRDefault="005145B6" w:rsidP="00806B5D">
      <w:pPr>
        <w:spacing w:after="0" w:line="240" w:lineRule="auto"/>
      </w:pPr>
      <w:r>
        <w:separator/>
      </w:r>
    </w:p>
  </w:endnote>
  <w:endnote w:type="continuationSeparator" w:id="0">
    <w:p w:rsidR="005145B6" w:rsidRDefault="005145B6" w:rsidP="0080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B6" w:rsidRDefault="005145B6" w:rsidP="00806B5D">
      <w:pPr>
        <w:spacing w:after="0" w:line="240" w:lineRule="auto"/>
      </w:pPr>
      <w:r>
        <w:separator/>
      </w:r>
    </w:p>
  </w:footnote>
  <w:footnote w:type="continuationSeparator" w:id="0">
    <w:p w:rsidR="005145B6" w:rsidRDefault="005145B6" w:rsidP="0080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B6" w:rsidRDefault="005145B6">
    <w:pPr>
      <w:pStyle w:val="Encabezado"/>
    </w:pPr>
    <w:r>
      <w:rPr>
        <w:rFonts w:eastAsia="Calibri"/>
        <w:noProof/>
        <w:lang w:eastAsia="es-ES"/>
      </w:rPr>
      <w:drawing>
        <wp:inline distT="0" distB="0" distL="0" distR="0" wp14:anchorId="2D5136BF" wp14:editId="1FAE0073">
          <wp:extent cx="3018622" cy="79207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198" cy="793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5B6" w:rsidRDefault="005145B6" w:rsidP="00933E20">
    <w:pPr>
      <w:tabs>
        <w:tab w:val="center" w:pos="4252"/>
        <w:tab w:val="right" w:pos="8504"/>
      </w:tabs>
      <w:spacing w:after="0" w:line="240" w:lineRule="auto"/>
      <w:jc w:val="both"/>
      <w:rPr>
        <w:rFonts w:eastAsia="Calibri"/>
        <w:noProof/>
        <w:sz w:val="16"/>
        <w:szCs w:val="18"/>
        <w:lang w:eastAsia="es-ES"/>
      </w:rPr>
    </w:pPr>
    <w:r w:rsidRPr="00706684">
      <w:rPr>
        <w:rFonts w:eastAsia="Calibri"/>
        <w:noProof/>
        <w:sz w:val="16"/>
        <w:szCs w:val="18"/>
        <w:lang w:eastAsia="es-ES"/>
      </w:rPr>
      <w:t>CDS-2013/001</w:t>
    </w:r>
    <w:r>
      <w:rPr>
        <w:rFonts w:eastAsia="Calibri"/>
        <w:noProof/>
        <w:sz w:val="16"/>
        <w:szCs w:val="18"/>
        <w:lang w:eastAsia="es-ES"/>
      </w:rPr>
      <w:t>0</w:t>
    </w:r>
  </w:p>
  <w:p w:rsidR="005145B6" w:rsidRDefault="005145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996" w:hanging="360"/>
      </w:pPr>
      <w:rPr>
        <w:rFonts w:ascii="Wingdings" w:hAnsi="Wingdings" w:cs="Wingdings"/>
        <w:sz w:val="22"/>
        <w:vertAlign w:val="superscript"/>
      </w:rPr>
    </w:lvl>
  </w:abstractNum>
  <w:abstractNum w:abstractNumId="1" w15:restartNumberingAfterBreak="0">
    <w:nsid w:val="077C61CB"/>
    <w:multiLevelType w:val="hybridMultilevel"/>
    <w:tmpl w:val="CC14B552"/>
    <w:lvl w:ilvl="0" w:tplc="00000003">
      <w:numFmt w:val="bullet"/>
      <w:lvlText w:val="□"/>
      <w:lvlJc w:val="left"/>
      <w:pPr>
        <w:ind w:left="144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81F87"/>
    <w:multiLevelType w:val="hybridMultilevel"/>
    <w:tmpl w:val="1BE0E5CC"/>
    <w:lvl w:ilvl="0" w:tplc="202ECD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767"/>
    <w:multiLevelType w:val="hybridMultilevel"/>
    <w:tmpl w:val="79D0A3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44522C"/>
    <w:multiLevelType w:val="hybridMultilevel"/>
    <w:tmpl w:val="39F0F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7FB8"/>
    <w:multiLevelType w:val="hybridMultilevel"/>
    <w:tmpl w:val="153628B4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E311A"/>
    <w:multiLevelType w:val="hybridMultilevel"/>
    <w:tmpl w:val="5332155A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953DC2"/>
    <w:multiLevelType w:val="hybridMultilevel"/>
    <w:tmpl w:val="84D41B3A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FFC"/>
    <w:multiLevelType w:val="hybridMultilevel"/>
    <w:tmpl w:val="A5CAC752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F1572"/>
    <w:multiLevelType w:val="hybridMultilevel"/>
    <w:tmpl w:val="640ECC84"/>
    <w:lvl w:ilvl="0" w:tplc="53F6727A">
      <w:start w:val="1"/>
      <w:numFmt w:val="bullet"/>
      <w:lvlText w:val=""/>
      <w:lvlJc w:val="left"/>
      <w:pPr>
        <w:ind w:left="1070" w:hanging="360"/>
      </w:pPr>
      <w:rPr>
        <w:rFonts w:ascii="Wingdings" w:hAnsi="Wingdings" w:hint="default"/>
        <w:color w:val="0000FF"/>
        <w:sz w:val="28"/>
      </w:rPr>
    </w:lvl>
    <w:lvl w:ilvl="1" w:tplc="0C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246B50C7"/>
    <w:multiLevelType w:val="hybridMultilevel"/>
    <w:tmpl w:val="59A8D31A"/>
    <w:lvl w:ilvl="0" w:tplc="F3DCE53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A175F6C"/>
    <w:multiLevelType w:val="hybridMultilevel"/>
    <w:tmpl w:val="1660D0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B7D9F"/>
    <w:multiLevelType w:val="hybridMultilevel"/>
    <w:tmpl w:val="F5880DF4"/>
    <w:lvl w:ilvl="0" w:tplc="DA58F4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077D8"/>
    <w:multiLevelType w:val="hybridMultilevel"/>
    <w:tmpl w:val="ADC87CFC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C94432"/>
    <w:multiLevelType w:val="hybridMultilevel"/>
    <w:tmpl w:val="0E6CA4B4"/>
    <w:lvl w:ilvl="0" w:tplc="11D44056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6E78"/>
    <w:multiLevelType w:val="hybridMultilevel"/>
    <w:tmpl w:val="1C36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1230"/>
    <w:multiLevelType w:val="hybridMultilevel"/>
    <w:tmpl w:val="D2EC4AEC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969D3"/>
    <w:multiLevelType w:val="singleLevel"/>
    <w:tmpl w:val="79BED094"/>
    <w:lvl w:ilvl="0"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18" w15:restartNumberingAfterBreak="0">
    <w:nsid w:val="563D24F4"/>
    <w:multiLevelType w:val="hybridMultilevel"/>
    <w:tmpl w:val="BBC64C00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8643A"/>
    <w:multiLevelType w:val="hybridMultilevel"/>
    <w:tmpl w:val="1B62EBE0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B122F"/>
    <w:multiLevelType w:val="hybridMultilevel"/>
    <w:tmpl w:val="539ABC90"/>
    <w:lvl w:ilvl="0" w:tplc="00000003">
      <w:numFmt w:val="bullet"/>
      <w:lvlText w:val="□"/>
      <w:lvlJc w:val="left"/>
      <w:pPr>
        <w:ind w:left="1425" w:hanging="360"/>
      </w:pPr>
      <w:rPr>
        <w:rFonts w:ascii="Arial" w:hAnsi="Arial" w:cs="Arial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78F2DCA"/>
    <w:multiLevelType w:val="hybridMultilevel"/>
    <w:tmpl w:val="ACD6142E"/>
    <w:lvl w:ilvl="0" w:tplc="E494A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E6016"/>
    <w:multiLevelType w:val="hybridMultilevel"/>
    <w:tmpl w:val="091CF212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A7507"/>
    <w:multiLevelType w:val="hybridMultilevel"/>
    <w:tmpl w:val="04BAC426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72CC5"/>
    <w:multiLevelType w:val="hybridMultilevel"/>
    <w:tmpl w:val="67B0472A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A5A51"/>
    <w:multiLevelType w:val="hybridMultilevel"/>
    <w:tmpl w:val="04B6018E"/>
    <w:lvl w:ilvl="0" w:tplc="F3DC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3"/>
  </w:num>
  <w:num w:numId="5">
    <w:abstractNumId w:val="15"/>
  </w:num>
  <w:num w:numId="6">
    <w:abstractNumId w:val="20"/>
  </w:num>
  <w:num w:numId="7">
    <w:abstractNumId w:val="1"/>
  </w:num>
  <w:num w:numId="8">
    <w:abstractNumId w:val="24"/>
  </w:num>
  <w:num w:numId="9">
    <w:abstractNumId w:val="25"/>
  </w:num>
  <w:num w:numId="10">
    <w:abstractNumId w:val="2"/>
  </w:num>
  <w:num w:numId="11">
    <w:abstractNumId w:val="12"/>
  </w:num>
  <w:num w:numId="12">
    <w:abstractNumId w:val="0"/>
  </w:num>
  <w:num w:numId="13">
    <w:abstractNumId w:val="10"/>
  </w:num>
  <w:num w:numId="14">
    <w:abstractNumId w:val="16"/>
  </w:num>
  <w:num w:numId="15">
    <w:abstractNumId w:val="21"/>
  </w:num>
  <w:num w:numId="16">
    <w:abstractNumId w:val="22"/>
  </w:num>
  <w:num w:numId="17">
    <w:abstractNumId w:val="18"/>
  </w:num>
  <w:num w:numId="18">
    <w:abstractNumId w:val="23"/>
  </w:num>
  <w:num w:numId="19">
    <w:abstractNumId w:val="8"/>
  </w:num>
  <w:num w:numId="20">
    <w:abstractNumId w:val="19"/>
  </w:num>
  <w:num w:numId="21">
    <w:abstractNumId w:val="5"/>
  </w:num>
  <w:num w:numId="22">
    <w:abstractNumId w:val="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</w:num>
  <w:num w:numId="26">
    <w:abstractNumId w:val="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0B6"/>
    <w:rsid w:val="000015C0"/>
    <w:rsid w:val="00003B43"/>
    <w:rsid w:val="00004D69"/>
    <w:rsid w:val="000054CE"/>
    <w:rsid w:val="000066D8"/>
    <w:rsid w:val="00007B4E"/>
    <w:rsid w:val="00011A2D"/>
    <w:rsid w:val="00012F08"/>
    <w:rsid w:val="000135BF"/>
    <w:rsid w:val="00013D50"/>
    <w:rsid w:val="000155F4"/>
    <w:rsid w:val="000159ED"/>
    <w:rsid w:val="00015B5A"/>
    <w:rsid w:val="00017882"/>
    <w:rsid w:val="00020DD7"/>
    <w:rsid w:val="000240E4"/>
    <w:rsid w:val="00024BC3"/>
    <w:rsid w:val="00026BED"/>
    <w:rsid w:val="00030485"/>
    <w:rsid w:val="00030C68"/>
    <w:rsid w:val="0003300C"/>
    <w:rsid w:val="00033CA0"/>
    <w:rsid w:val="00033CD3"/>
    <w:rsid w:val="00034861"/>
    <w:rsid w:val="0003647B"/>
    <w:rsid w:val="000373FE"/>
    <w:rsid w:val="00037809"/>
    <w:rsid w:val="000415AA"/>
    <w:rsid w:val="00042047"/>
    <w:rsid w:val="000429F3"/>
    <w:rsid w:val="0004373B"/>
    <w:rsid w:val="00044041"/>
    <w:rsid w:val="00044471"/>
    <w:rsid w:val="00044B28"/>
    <w:rsid w:val="00045F32"/>
    <w:rsid w:val="0004669D"/>
    <w:rsid w:val="00046DDC"/>
    <w:rsid w:val="00050ACF"/>
    <w:rsid w:val="00050D55"/>
    <w:rsid w:val="00051ADB"/>
    <w:rsid w:val="00054C4E"/>
    <w:rsid w:val="00057738"/>
    <w:rsid w:val="00062C59"/>
    <w:rsid w:val="000638E9"/>
    <w:rsid w:val="000647FF"/>
    <w:rsid w:val="000665E8"/>
    <w:rsid w:val="00067D9A"/>
    <w:rsid w:val="00070EB0"/>
    <w:rsid w:val="00071D82"/>
    <w:rsid w:val="00072527"/>
    <w:rsid w:val="00077248"/>
    <w:rsid w:val="000777D1"/>
    <w:rsid w:val="00077806"/>
    <w:rsid w:val="00080B55"/>
    <w:rsid w:val="00081328"/>
    <w:rsid w:val="000839EC"/>
    <w:rsid w:val="00083EAF"/>
    <w:rsid w:val="00084F62"/>
    <w:rsid w:val="0008611E"/>
    <w:rsid w:val="00090C15"/>
    <w:rsid w:val="000927EC"/>
    <w:rsid w:val="000973AC"/>
    <w:rsid w:val="0009793A"/>
    <w:rsid w:val="000A09AD"/>
    <w:rsid w:val="000A0EBA"/>
    <w:rsid w:val="000A1005"/>
    <w:rsid w:val="000A128C"/>
    <w:rsid w:val="000A2D05"/>
    <w:rsid w:val="000A2E38"/>
    <w:rsid w:val="000A35A0"/>
    <w:rsid w:val="000A4BE5"/>
    <w:rsid w:val="000A53CD"/>
    <w:rsid w:val="000A57FE"/>
    <w:rsid w:val="000A6ACE"/>
    <w:rsid w:val="000A77D1"/>
    <w:rsid w:val="000B0BBB"/>
    <w:rsid w:val="000B11E0"/>
    <w:rsid w:val="000B29FF"/>
    <w:rsid w:val="000B333A"/>
    <w:rsid w:val="000B3F2E"/>
    <w:rsid w:val="000B45F0"/>
    <w:rsid w:val="000B5BCF"/>
    <w:rsid w:val="000C0D4F"/>
    <w:rsid w:val="000C1730"/>
    <w:rsid w:val="000C5BF0"/>
    <w:rsid w:val="000D1768"/>
    <w:rsid w:val="000D1C61"/>
    <w:rsid w:val="000D3345"/>
    <w:rsid w:val="000D5717"/>
    <w:rsid w:val="000D6B5E"/>
    <w:rsid w:val="000D7070"/>
    <w:rsid w:val="000D7C9E"/>
    <w:rsid w:val="000E0CAA"/>
    <w:rsid w:val="000E2013"/>
    <w:rsid w:val="000E27F6"/>
    <w:rsid w:val="000E3BDB"/>
    <w:rsid w:val="000E6497"/>
    <w:rsid w:val="000E7103"/>
    <w:rsid w:val="000F1CD4"/>
    <w:rsid w:val="000F1D9F"/>
    <w:rsid w:val="000F384E"/>
    <w:rsid w:val="000F3EC1"/>
    <w:rsid w:val="000F4681"/>
    <w:rsid w:val="000F7931"/>
    <w:rsid w:val="0010033E"/>
    <w:rsid w:val="00100867"/>
    <w:rsid w:val="0010148B"/>
    <w:rsid w:val="00103625"/>
    <w:rsid w:val="001046EA"/>
    <w:rsid w:val="00104CFD"/>
    <w:rsid w:val="00110254"/>
    <w:rsid w:val="001118AC"/>
    <w:rsid w:val="00114610"/>
    <w:rsid w:val="001177C9"/>
    <w:rsid w:val="001204A7"/>
    <w:rsid w:val="001204E5"/>
    <w:rsid w:val="0012166C"/>
    <w:rsid w:val="00126268"/>
    <w:rsid w:val="001304ED"/>
    <w:rsid w:val="00132151"/>
    <w:rsid w:val="0013692F"/>
    <w:rsid w:val="00136F7C"/>
    <w:rsid w:val="0014131E"/>
    <w:rsid w:val="0014209E"/>
    <w:rsid w:val="00142883"/>
    <w:rsid w:val="00143545"/>
    <w:rsid w:val="001436DB"/>
    <w:rsid w:val="0014627C"/>
    <w:rsid w:val="0015216D"/>
    <w:rsid w:val="00153131"/>
    <w:rsid w:val="00153546"/>
    <w:rsid w:val="00153A74"/>
    <w:rsid w:val="00153A77"/>
    <w:rsid w:val="00154EE6"/>
    <w:rsid w:val="00157A23"/>
    <w:rsid w:val="001619D4"/>
    <w:rsid w:val="001628B9"/>
    <w:rsid w:val="001634F1"/>
    <w:rsid w:val="001653A5"/>
    <w:rsid w:val="00165B8B"/>
    <w:rsid w:val="00165DC7"/>
    <w:rsid w:val="0016674A"/>
    <w:rsid w:val="001668A9"/>
    <w:rsid w:val="00166D4D"/>
    <w:rsid w:val="00166E0D"/>
    <w:rsid w:val="00172C1A"/>
    <w:rsid w:val="00173A4A"/>
    <w:rsid w:val="00173E87"/>
    <w:rsid w:val="001747D8"/>
    <w:rsid w:val="00175CC1"/>
    <w:rsid w:val="0017767D"/>
    <w:rsid w:val="001778EB"/>
    <w:rsid w:val="00180452"/>
    <w:rsid w:val="001816F7"/>
    <w:rsid w:val="00181D40"/>
    <w:rsid w:val="00182602"/>
    <w:rsid w:val="00184C24"/>
    <w:rsid w:val="001862A5"/>
    <w:rsid w:val="0019217E"/>
    <w:rsid w:val="001942B1"/>
    <w:rsid w:val="001960D4"/>
    <w:rsid w:val="001A03E7"/>
    <w:rsid w:val="001A155F"/>
    <w:rsid w:val="001A55F5"/>
    <w:rsid w:val="001A6F84"/>
    <w:rsid w:val="001B0242"/>
    <w:rsid w:val="001B0821"/>
    <w:rsid w:val="001B083B"/>
    <w:rsid w:val="001B2734"/>
    <w:rsid w:val="001B342F"/>
    <w:rsid w:val="001B3ACC"/>
    <w:rsid w:val="001B4441"/>
    <w:rsid w:val="001B4512"/>
    <w:rsid w:val="001B5286"/>
    <w:rsid w:val="001B5577"/>
    <w:rsid w:val="001B5BB9"/>
    <w:rsid w:val="001B6B5F"/>
    <w:rsid w:val="001B7376"/>
    <w:rsid w:val="001C01B5"/>
    <w:rsid w:val="001C0F0C"/>
    <w:rsid w:val="001C3C09"/>
    <w:rsid w:val="001C472E"/>
    <w:rsid w:val="001C49D6"/>
    <w:rsid w:val="001C59BD"/>
    <w:rsid w:val="001C7527"/>
    <w:rsid w:val="001C782E"/>
    <w:rsid w:val="001D1DDB"/>
    <w:rsid w:val="001D2524"/>
    <w:rsid w:val="001D3E91"/>
    <w:rsid w:val="001E31EB"/>
    <w:rsid w:val="001E3ADB"/>
    <w:rsid w:val="001E4351"/>
    <w:rsid w:val="001E43F1"/>
    <w:rsid w:val="001E594B"/>
    <w:rsid w:val="001F0BD0"/>
    <w:rsid w:val="001F179D"/>
    <w:rsid w:val="001F1E28"/>
    <w:rsid w:val="001F6D41"/>
    <w:rsid w:val="001F6F8A"/>
    <w:rsid w:val="002027B6"/>
    <w:rsid w:val="00202CC2"/>
    <w:rsid w:val="00202CE0"/>
    <w:rsid w:val="0020378F"/>
    <w:rsid w:val="00206FA7"/>
    <w:rsid w:val="0021095E"/>
    <w:rsid w:val="002159D2"/>
    <w:rsid w:val="0021753F"/>
    <w:rsid w:val="00222869"/>
    <w:rsid w:val="00222AEF"/>
    <w:rsid w:val="00223475"/>
    <w:rsid w:val="00225A28"/>
    <w:rsid w:val="00226818"/>
    <w:rsid w:val="00230C03"/>
    <w:rsid w:val="00230EC4"/>
    <w:rsid w:val="00232887"/>
    <w:rsid w:val="00232FA8"/>
    <w:rsid w:val="00236938"/>
    <w:rsid w:val="002403E4"/>
    <w:rsid w:val="002413DD"/>
    <w:rsid w:val="002417C4"/>
    <w:rsid w:val="00244DA8"/>
    <w:rsid w:val="002452C5"/>
    <w:rsid w:val="00245D2F"/>
    <w:rsid w:val="00251F8E"/>
    <w:rsid w:val="00256F83"/>
    <w:rsid w:val="002571A5"/>
    <w:rsid w:val="002622CF"/>
    <w:rsid w:val="00263C1C"/>
    <w:rsid w:val="0026418A"/>
    <w:rsid w:val="00264A1C"/>
    <w:rsid w:val="0026652C"/>
    <w:rsid w:val="0027223A"/>
    <w:rsid w:val="00272396"/>
    <w:rsid w:val="002725F3"/>
    <w:rsid w:val="00272A08"/>
    <w:rsid w:val="00273675"/>
    <w:rsid w:val="0027370D"/>
    <w:rsid w:val="00275698"/>
    <w:rsid w:val="00275C80"/>
    <w:rsid w:val="00276ECD"/>
    <w:rsid w:val="00277BFF"/>
    <w:rsid w:val="0028067C"/>
    <w:rsid w:val="00282165"/>
    <w:rsid w:val="00282D7E"/>
    <w:rsid w:val="00283D5E"/>
    <w:rsid w:val="00284C24"/>
    <w:rsid w:val="0028724C"/>
    <w:rsid w:val="00291793"/>
    <w:rsid w:val="0029231D"/>
    <w:rsid w:val="00293165"/>
    <w:rsid w:val="00294D53"/>
    <w:rsid w:val="002959CD"/>
    <w:rsid w:val="0029750D"/>
    <w:rsid w:val="00297FBD"/>
    <w:rsid w:val="002A0310"/>
    <w:rsid w:val="002A03AB"/>
    <w:rsid w:val="002A0E7E"/>
    <w:rsid w:val="002A3086"/>
    <w:rsid w:val="002A30B1"/>
    <w:rsid w:val="002A3581"/>
    <w:rsid w:val="002A5198"/>
    <w:rsid w:val="002A5346"/>
    <w:rsid w:val="002A5DD8"/>
    <w:rsid w:val="002A64F6"/>
    <w:rsid w:val="002A68D4"/>
    <w:rsid w:val="002A7051"/>
    <w:rsid w:val="002B0BCA"/>
    <w:rsid w:val="002B1EE9"/>
    <w:rsid w:val="002B3CE2"/>
    <w:rsid w:val="002B6D57"/>
    <w:rsid w:val="002B6D58"/>
    <w:rsid w:val="002B76D9"/>
    <w:rsid w:val="002B7D03"/>
    <w:rsid w:val="002C01B2"/>
    <w:rsid w:val="002C1942"/>
    <w:rsid w:val="002C202B"/>
    <w:rsid w:val="002C3C34"/>
    <w:rsid w:val="002C617C"/>
    <w:rsid w:val="002D2D26"/>
    <w:rsid w:val="002D4B23"/>
    <w:rsid w:val="002D4BC9"/>
    <w:rsid w:val="002E06B2"/>
    <w:rsid w:val="002E277E"/>
    <w:rsid w:val="002E3E96"/>
    <w:rsid w:val="002E4AF8"/>
    <w:rsid w:val="002E5986"/>
    <w:rsid w:val="002E6486"/>
    <w:rsid w:val="002E7020"/>
    <w:rsid w:val="002E7AC4"/>
    <w:rsid w:val="002E7E5D"/>
    <w:rsid w:val="002F0F00"/>
    <w:rsid w:val="002F1254"/>
    <w:rsid w:val="002F1992"/>
    <w:rsid w:val="002F1E9D"/>
    <w:rsid w:val="002F23C6"/>
    <w:rsid w:val="002F2C82"/>
    <w:rsid w:val="002F7874"/>
    <w:rsid w:val="002F7E23"/>
    <w:rsid w:val="00300931"/>
    <w:rsid w:val="0030402C"/>
    <w:rsid w:val="003047AC"/>
    <w:rsid w:val="00304B3B"/>
    <w:rsid w:val="00304D7C"/>
    <w:rsid w:val="00306351"/>
    <w:rsid w:val="00306674"/>
    <w:rsid w:val="003100ED"/>
    <w:rsid w:val="003109D6"/>
    <w:rsid w:val="00310EF5"/>
    <w:rsid w:val="003111E8"/>
    <w:rsid w:val="00315E3D"/>
    <w:rsid w:val="00315E8B"/>
    <w:rsid w:val="003160F8"/>
    <w:rsid w:val="0031669C"/>
    <w:rsid w:val="00323973"/>
    <w:rsid w:val="00323DCD"/>
    <w:rsid w:val="00324F69"/>
    <w:rsid w:val="00325835"/>
    <w:rsid w:val="00325E6A"/>
    <w:rsid w:val="00326811"/>
    <w:rsid w:val="003327F5"/>
    <w:rsid w:val="00333CA0"/>
    <w:rsid w:val="00334DCF"/>
    <w:rsid w:val="00335439"/>
    <w:rsid w:val="00335591"/>
    <w:rsid w:val="0033585D"/>
    <w:rsid w:val="00336583"/>
    <w:rsid w:val="0034121E"/>
    <w:rsid w:val="00341BE6"/>
    <w:rsid w:val="00342CB2"/>
    <w:rsid w:val="00345894"/>
    <w:rsid w:val="003472E2"/>
    <w:rsid w:val="00347E7A"/>
    <w:rsid w:val="00350AFB"/>
    <w:rsid w:val="00351673"/>
    <w:rsid w:val="00352FEE"/>
    <w:rsid w:val="00353F12"/>
    <w:rsid w:val="0035718E"/>
    <w:rsid w:val="00360335"/>
    <w:rsid w:val="00360C1F"/>
    <w:rsid w:val="003616F9"/>
    <w:rsid w:val="00363697"/>
    <w:rsid w:val="003642DA"/>
    <w:rsid w:val="00364FE5"/>
    <w:rsid w:val="003711F5"/>
    <w:rsid w:val="00371AD8"/>
    <w:rsid w:val="00371EB5"/>
    <w:rsid w:val="00373289"/>
    <w:rsid w:val="00374BBE"/>
    <w:rsid w:val="003768DD"/>
    <w:rsid w:val="00376992"/>
    <w:rsid w:val="00380613"/>
    <w:rsid w:val="0038084D"/>
    <w:rsid w:val="0038275D"/>
    <w:rsid w:val="00383D74"/>
    <w:rsid w:val="00385A76"/>
    <w:rsid w:val="00386CA9"/>
    <w:rsid w:val="00387678"/>
    <w:rsid w:val="003905F3"/>
    <w:rsid w:val="00392EC8"/>
    <w:rsid w:val="003941CF"/>
    <w:rsid w:val="003A088F"/>
    <w:rsid w:val="003A304D"/>
    <w:rsid w:val="003A5D25"/>
    <w:rsid w:val="003A7D8F"/>
    <w:rsid w:val="003B0045"/>
    <w:rsid w:val="003B0335"/>
    <w:rsid w:val="003B5F50"/>
    <w:rsid w:val="003B703E"/>
    <w:rsid w:val="003C0565"/>
    <w:rsid w:val="003C12FC"/>
    <w:rsid w:val="003C20E9"/>
    <w:rsid w:val="003C2A75"/>
    <w:rsid w:val="003C3235"/>
    <w:rsid w:val="003C35E0"/>
    <w:rsid w:val="003C44EF"/>
    <w:rsid w:val="003C6128"/>
    <w:rsid w:val="003C7A42"/>
    <w:rsid w:val="003D3089"/>
    <w:rsid w:val="003D4B85"/>
    <w:rsid w:val="003D6D52"/>
    <w:rsid w:val="003E0318"/>
    <w:rsid w:val="003E0481"/>
    <w:rsid w:val="003E2850"/>
    <w:rsid w:val="003E2C3D"/>
    <w:rsid w:val="003E2CF3"/>
    <w:rsid w:val="003E63DD"/>
    <w:rsid w:val="003F0D31"/>
    <w:rsid w:val="003F19DD"/>
    <w:rsid w:val="003F2F05"/>
    <w:rsid w:val="003F33EF"/>
    <w:rsid w:val="003F392D"/>
    <w:rsid w:val="0040068B"/>
    <w:rsid w:val="00401FF3"/>
    <w:rsid w:val="00402111"/>
    <w:rsid w:val="00402542"/>
    <w:rsid w:val="00404F35"/>
    <w:rsid w:val="00405756"/>
    <w:rsid w:val="00406A68"/>
    <w:rsid w:val="00410C15"/>
    <w:rsid w:val="0041156B"/>
    <w:rsid w:val="00412977"/>
    <w:rsid w:val="00420E6E"/>
    <w:rsid w:val="00421568"/>
    <w:rsid w:val="00423D51"/>
    <w:rsid w:val="00424DA7"/>
    <w:rsid w:val="00427DDE"/>
    <w:rsid w:val="00436A35"/>
    <w:rsid w:val="004375C6"/>
    <w:rsid w:val="00440609"/>
    <w:rsid w:val="004431F4"/>
    <w:rsid w:val="00443CB4"/>
    <w:rsid w:val="00443F24"/>
    <w:rsid w:val="00446742"/>
    <w:rsid w:val="00446C85"/>
    <w:rsid w:val="00446CF6"/>
    <w:rsid w:val="00447398"/>
    <w:rsid w:val="00450B95"/>
    <w:rsid w:val="00452F63"/>
    <w:rsid w:val="00457E9F"/>
    <w:rsid w:val="00460397"/>
    <w:rsid w:val="004624C6"/>
    <w:rsid w:val="0046259E"/>
    <w:rsid w:val="004634A3"/>
    <w:rsid w:val="004664DF"/>
    <w:rsid w:val="004670AA"/>
    <w:rsid w:val="00467156"/>
    <w:rsid w:val="004713BE"/>
    <w:rsid w:val="00472841"/>
    <w:rsid w:val="00473F17"/>
    <w:rsid w:val="00481CDF"/>
    <w:rsid w:val="0048336B"/>
    <w:rsid w:val="0049028C"/>
    <w:rsid w:val="00490D61"/>
    <w:rsid w:val="004914F1"/>
    <w:rsid w:val="00491D49"/>
    <w:rsid w:val="00492C9D"/>
    <w:rsid w:val="0049304F"/>
    <w:rsid w:val="0049359A"/>
    <w:rsid w:val="004935F7"/>
    <w:rsid w:val="004950B9"/>
    <w:rsid w:val="004950ED"/>
    <w:rsid w:val="004967DB"/>
    <w:rsid w:val="00496D61"/>
    <w:rsid w:val="00497877"/>
    <w:rsid w:val="004A0694"/>
    <w:rsid w:val="004A220E"/>
    <w:rsid w:val="004A5B52"/>
    <w:rsid w:val="004A7282"/>
    <w:rsid w:val="004B223F"/>
    <w:rsid w:val="004B2FBE"/>
    <w:rsid w:val="004B56DC"/>
    <w:rsid w:val="004B62FF"/>
    <w:rsid w:val="004B64C2"/>
    <w:rsid w:val="004B768E"/>
    <w:rsid w:val="004C0560"/>
    <w:rsid w:val="004C05FC"/>
    <w:rsid w:val="004C0819"/>
    <w:rsid w:val="004C094E"/>
    <w:rsid w:val="004C0BD3"/>
    <w:rsid w:val="004C277C"/>
    <w:rsid w:val="004C2FB6"/>
    <w:rsid w:val="004C4337"/>
    <w:rsid w:val="004C433B"/>
    <w:rsid w:val="004C5FBB"/>
    <w:rsid w:val="004C6F4C"/>
    <w:rsid w:val="004D385D"/>
    <w:rsid w:val="004D6D5B"/>
    <w:rsid w:val="004E158C"/>
    <w:rsid w:val="004E2163"/>
    <w:rsid w:val="004E2D68"/>
    <w:rsid w:val="004E2F6F"/>
    <w:rsid w:val="004E41D3"/>
    <w:rsid w:val="004E5072"/>
    <w:rsid w:val="004E7EC3"/>
    <w:rsid w:val="004F0BA0"/>
    <w:rsid w:val="004F116C"/>
    <w:rsid w:val="004F22DD"/>
    <w:rsid w:val="004F286D"/>
    <w:rsid w:val="004F346E"/>
    <w:rsid w:val="004F34A2"/>
    <w:rsid w:val="004F6E5D"/>
    <w:rsid w:val="005003E9"/>
    <w:rsid w:val="005007D8"/>
    <w:rsid w:val="0050382E"/>
    <w:rsid w:val="00507FA7"/>
    <w:rsid w:val="00513831"/>
    <w:rsid w:val="00513CC3"/>
    <w:rsid w:val="005145B6"/>
    <w:rsid w:val="00515CBE"/>
    <w:rsid w:val="00515EE7"/>
    <w:rsid w:val="00516559"/>
    <w:rsid w:val="00517DE5"/>
    <w:rsid w:val="00522FC1"/>
    <w:rsid w:val="00523AC2"/>
    <w:rsid w:val="00523E40"/>
    <w:rsid w:val="00524657"/>
    <w:rsid w:val="0052517C"/>
    <w:rsid w:val="005277EC"/>
    <w:rsid w:val="00532638"/>
    <w:rsid w:val="005332F7"/>
    <w:rsid w:val="005335EF"/>
    <w:rsid w:val="005336F3"/>
    <w:rsid w:val="005349F0"/>
    <w:rsid w:val="005369AA"/>
    <w:rsid w:val="00536C5A"/>
    <w:rsid w:val="00540967"/>
    <w:rsid w:val="00541934"/>
    <w:rsid w:val="00542A56"/>
    <w:rsid w:val="00543DEC"/>
    <w:rsid w:val="00544D8B"/>
    <w:rsid w:val="00546FEC"/>
    <w:rsid w:val="0055010D"/>
    <w:rsid w:val="00550687"/>
    <w:rsid w:val="005518E2"/>
    <w:rsid w:val="00551E94"/>
    <w:rsid w:val="005523EE"/>
    <w:rsid w:val="00553CDA"/>
    <w:rsid w:val="00555CC4"/>
    <w:rsid w:val="0055697B"/>
    <w:rsid w:val="00556BAE"/>
    <w:rsid w:val="0055723B"/>
    <w:rsid w:val="005575BF"/>
    <w:rsid w:val="00563039"/>
    <w:rsid w:val="005644A1"/>
    <w:rsid w:val="00564BF6"/>
    <w:rsid w:val="00565066"/>
    <w:rsid w:val="00565200"/>
    <w:rsid w:val="005656DA"/>
    <w:rsid w:val="00565FC7"/>
    <w:rsid w:val="005669DC"/>
    <w:rsid w:val="00567E2F"/>
    <w:rsid w:val="00572EFD"/>
    <w:rsid w:val="0057550A"/>
    <w:rsid w:val="005758D5"/>
    <w:rsid w:val="005760C2"/>
    <w:rsid w:val="0058173F"/>
    <w:rsid w:val="00582FFB"/>
    <w:rsid w:val="00583A2B"/>
    <w:rsid w:val="0058485A"/>
    <w:rsid w:val="005856AF"/>
    <w:rsid w:val="00585ABE"/>
    <w:rsid w:val="00586376"/>
    <w:rsid w:val="00586783"/>
    <w:rsid w:val="005906AE"/>
    <w:rsid w:val="00591FE1"/>
    <w:rsid w:val="005927A8"/>
    <w:rsid w:val="00594729"/>
    <w:rsid w:val="00595CED"/>
    <w:rsid w:val="0059601B"/>
    <w:rsid w:val="00596181"/>
    <w:rsid w:val="0059699A"/>
    <w:rsid w:val="00596B9A"/>
    <w:rsid w:val="005A0C26"/>
    <w:rsid w:val="005A39B9"/>
    <w:rsid w:val="005A4085"/>
    <w:rsid w:val="005A7BA6"/>
    <w:rsid w:val="005B13E1"/>
    <w:rsid w:val="005B1A19"/>
    <w:rsid w:val="005B2E30"/>
    <w:rsid w:val="005B3EC7"/>
    <w:rsid w:val="005B5750"/>
    <w:rsid w:val="005C0A15"/>
    <w:rsid w:val="005C0BF5"/>
    <w:rsid w:val="005C2250"/>
    <w:rsid w:val="005C6A98"/>
    <w:rsid w:val="005D1FC2"/>
    <w:rsid w:val="005D7298"/>
    <w:rsid w:val="005E1D7D"/>
    <w:rsid w:val="005E2D2C"/>
    <w:rsid w:val="005E2D94"/>
    <w:rsid w:val="005E3115"/>
    <w:rsid w:val="005E36F3"/>
    <w:rsid w:val="005E3DC3"/>
    <w:rsid w:val="005E6B70"/>
    <w:rsid w:val="005F08DF"/>
    <w:rsid w:val="005F0DB5"/>
    <w:rsid w:val="005F15A8"/>
    <w:rsid w:val="005F1F56"/>
    <w:rsid w:val="005F28BF"/>
    <w:rsid w:val="005F3739"/>
    <w:rsid w:val="005F5B19"/>
    <w:rsid w:val="005F6A71"/>
    <w:rsid w:val="005F7155"/>
    <w:rsid w:val="005F76AA"/>
    <w:rsid w:val="005F7CB3"/>
    <w:rsid w:val="00601894"/>
    <w:rsid w:val="00604500"/>
    <w:rsid w:val="00605051"/>
    <w:rsid w:val="00606579"/>
    <w:rsid w:val="00610FE2"/>
    <w:rsid w:val="00611732"/>
    <w:rsid w:val="00611A22"/>
    <w:rsid w:val="00612C36"/>
    <w:rsid w:val="00612E5C"/>
    <w:rsid w:val="0061304C"/>
    <w:rsid w:val="006132E2"/>
    <w:rsid w:val="006138EF"/>
    <w:rsid w:val="006142FE"/>
    <w:rsid w:val="006165AC"/>
    <w:rsid w:val="0061760A"/>
    <w:rsid w:val="0062134F"/>
    <w:rsid w:val="006214EB"/>
    <w:rsid w:val="00625366"/>
    <w:rsid w:val="00626DB4"/>
    <w:rsid w:val="00627F0B"/>
    <w:rsid w:val="006342FA"/>
    <w:rsid w:val="006352A0"/>
    <w:rsid w:val="00635D47"/>
    <w:rsid w:val="00635E3A"/>
    <w:rsid w:val="00635FFA"/>
    <w:rsid w:val="00637CE5"/>
    <w:rsid w:val="00651896"/>
    <w:rsid w:val="00652603"/>
    <w:rsid w:val="00653F90"/>
    <w:rsid w:val="00657D46"/>
    <w:rsid w:val="006605B5"/>
    <w:rsid w:val="006609BF"/>
    <w:rsid w:val="00663731"/>
    <w:rsid w:val="0066401A"/>
    <w:rsid w:val="006658CB"/>
    <w:rsid w:val="00665C8C"/>
    <w:rsid w:val="00666156"/>
    <w:rsid w:val="006661EE"/>
    <w:rsid w:val="00666880"/>
    <w:rsid w:val="00667C0C"/>
    <w:rsid w:val="00672935"/>
    <w:rsid w:val="006732A8"/>
    <w:rsid w:val="006768FA"/>
    <w:rsid w:val="006820CA"/>
    <w:rsid w:val="00682A58"/>
    <w:rsid w:val="00685320"/>
    <w:rsid w:val="0068624A"/>
    <w:rsid w:val="00686E30"/>
    <w:rsid w:val="006871A1"/>
    <w:rsid w:val="00697330"/>
    <w:rsid w:val="00697712"/>
    <w:rsid w:val="006A09EB"/>
    <w:rsid w:val="006A3998"/>
    <w:rsid w:val="006A6D26"/>
    <w:rsid w:val="006B0CD7"/>
    <w:rsid w:val="006B43FA"/>
    <w:rsid w:val="006B4872"/>
    <w:rsid w:val="006B5F72"/>
    <w:rsid w:val="006C0C33"/>
    <w:rsid w:val="006C17FC"/>
    <w:rsid w:val="006C2C20"/>
    <w:rsid w:val="006C2F31"/>
    <w:rsid w:val="006C4F79"/>
    <w:rsid w:val="006D1088"/>
    <w:rsid w:val="006D24B8"/>
    <w:rsid w:val="006D3A3C"/>
    <w:rsid w:val="006D3CA8"/>
    <w:rsid w:val="006D443E"/>
    <w:rsid w:val="006D562C"/>
    <w:rsid w:val="006D6B78"/>
    <w:rsid w:val="006E057E"/>
    <w:rsid w:val="006E23B2"/>
    <w:rsid w:val="006E2684"/>
    <w:rsid w:val="006E4127"/>
    <w:rsid w:val="006E49EB"/>
    <w:rsid w:val="006E612A"/>
    <w:rsid w:val="006E7144"/>
    <w:rsid w:val="006E7B78"/>
    <w:rsid w:val="006F0545"/>
    <w:rsid w:val="006F1666"/>
    <w:rsid w:val="006F2DD6"/>
    <w:rsid w:val="006F4875"/>
    <w:rsid w:val="006F4FBB"/>
    <w:rsid w:val="006F7FD8"/>
    <w:rsid w:val="007020C7"/>
    <w:rsid w:val="00702235"/>
    <w:rsid w:val="007024FA"/>
    <w:rsid w:val="00703052"/>
    <w:rsid w:val="007050AC"/>
    <w:rsid w:val="00706118"/>
    <w:rsid w:val="0071353C"/>
    <w:rsid w:val="007144EC"/>
    <w:rsid w:val="007148DE"/>
    <w:rsid w:val="007177FC"/>
    <w:rsid w:val="00721042"/>
    <w:rsid w:val="0072459C"/>
    <w:rsid w:val="0072504A"/>
    <w:rsid w:val="00725C35"/>
    <w:rsid w:val="00726E07"/>
    <w:rsid w:val="007313DC"/>
    <w:rsid w:val="007320C8"/>
    <w:rsid w:val="007321A5"/>
    <w:rsid w:val="007340EF"/>
    <w:rsid w:val="00734566"/>
    <w:rsid w:val="00737001"/>
    <w:rsid w:val="00740D8B"/>
    <w:rsid w:val="00740F75"/>
    <w:rsid w:val="007412C6"/>
    <w:rsid w:val="00741BFC"/>
    <w:rsid w:val="00742120"/>
    <w:rsid w:val="00747289"/>
    <w:rsid w:val="00750DD1"/>
    <w:rsid w:val="0075229D"/>
    <w:rsid w:val="00752E76"/>
    <w:rsid w:val="00754355"/>
    <w:rsid w:val="007601BB"/>
    <w:rsid w:val="00760C80"/>
    <w:rsid w:val="007611EF"/>
    <w:rsid w:val="00763603"/>
    <w:rsid w:val="0076500C"/>
    <w:rsid w:val="00766838"/>
    <w:rsid w:val="007669EF"/>
    <w:rsid w:val="00766F1F"/>
    <w:rsid w:val="007673FD"/>
    <w:rsid w:val="00770CAF"/>
    <w:rsid w:val="0077201F"/>
    <w:rsid w:val="00772BD6"/>
    <w:rsid w:val="0077309C"/>
    <w:rsid w:val="007741F1"/>
    <w:rsid w:val="007803FA"/>
    <w:rsid w:val="007809E0"/>
    <w:rsid w:val="00781BB9"/>
    <w:rsid w:val="007846BD"/>
    <w:rsid w:val="00784966"/>
    <w:rsid w:val="00786539"/>
    <w:rsid w:val="00786EE1"/>
    <w:rsid w:val="00787D54"/>
    <w:rsid w:val="00787FE1"/>
    <w:rsid w:val="00791AA1"/>
    <w:rsid w:val="00792024"/>
    <w:rsid w:val="007925A0"/>
    <w:rsid w:val="00795B45"/>
    <w:rsid w:val="0079612E"/>
    <w:rsid w:val="007961C9"/>
    <w:rsid w:val="007971F2"/>
    <w:rsid w:val="007A187D"/>
    <w:rsid w:val="007A2488"/>
    <w:rsid w:val="007A3235"/>
    <w:rsid w:val="007A3EB5"/>
    <w:rsid w:val="007A4424"/>
    <w:rsid w:val="007B03AE"/>
    <w:rsid w:val="007B1088"/>
    <w:rsid w:val="007B1AED"/>
    <w:rsid w:val="007B1B8F"/>
    <w:rsid w:val="007B2D54"/>
    <w:rsid w:val="007B4D1B"/>
    <w:rsid w:val="007B5D7E"/>
    <w:rsid w:val="007B66C0"/>
    <w:rsid w:val="007B6AF0"/>
    <w:rsid w:val="007C00B7"/>
    <w:rsid w:val="007C3E70"/>
    <w:rsid w:val="007C6A63"/>
    <w:rsid w:val="007C71C3"/>
    <w:rsid w:val="007D0C6F"/>
    <w:rsid w:val="007D18B7"/>
    <w:rsid w:val="007D34EB"/>
    <w:rsid w:val="007D5214"/>
    <w:rsid w:val="007D7CD6"/>
    <w:rsid w:val="007E0411"/>
    <w:rsid w:val="007E0715"/>
    <w:rsid w:val="007E21C6"/>
    <w:rsid w:val="007E48F3"/>
    <w:rsid w:val="007E7277"/>
    <w:rsid w:val="007E77C4"/>
    <w:rsid w:val="007F009A"/>
    <w:rsid w:val="007F083E"/>
    <w:rsid w:val="007F0ECD"/>
    <w:rsid w:val="007F1163"/>
    <w:rsid w:val="007F33C0"/>
    <w:rsid w:val="007F3973"/>
    <w:rsid w:val="007F611E"/>
    <w:rsid w:val="007F703A"/>
    <w:rsid w:val="00801844"/>
    <w:rsid w:val="0080232B"/>
    <w:rsid w:val="0080393B"/>
    <w:rsid w:val="00805A63"/>
    <w:rsid w:val="008062D0"/>
    <w:rsid w:val="00806B5D"/>
    <w:rsid w:val="0080751F"/>
    <w:rsid w:val="008115BF"/>
    <w:rsid w:val="008163B6"/>
    <w:rsid w:val="0082185F"/>
    <w:rsid w:val="00821C4E"/>
    <w:rsid w:val="00824E83"/>
    <w:rsid w:val="008250B6"/>
    <w:rsid w:val="008255A0"/>
    <w:rsid w:val="00825734"/>
    <w:rsid w:val="00825981"/>
    <w:rsid w:val="008327E8"/>
    <w:rsid w:val="008351D3"/>
    <w:rsid w:val="00840034"/>
    <w:rsid w:val="0084036E"/>
    <w:rsid w:val="008410B0"/>
    <w:rsid w:val="00841D80"/>
    <w:rsid w:val="008420E5"/>
    <w:rsid w:val="0084353F"/>
    <w:rsid w:val="00846D1A"/>
    <w:rsid w:val="008508F2"/>
    <w:rsid w:val="00850D96"/>
    <w:rsid w:val="00853CA7"/>
    <w:rsid w:val="00856238"/>
    <w:rsid w:val="0085684E"/>
    <w:rsid w:val="0085708D"/>
    <w:rsid w:val="008608ED"/>
    <w:rsid w:val="00863779"/>
    <w:rsid w:val="00864A70"/>
    <w:rsid w:val="00864B2F"/>
    <w:rsid w:val="008657FB"/>
    <w:rsid w:val="00865C89"/>
    <w:rsid w:val="00866247"/>
    <w:rsid w:val="00866650"/>
    <w:rsid w:val="00867329"/>
    <w:rsid w:val="008676AC"/>
    <w:rsid w:val="008700D5"/>
    <w:rsid w:val="00870A6D"/>
    <w:rsid w:val="00871115"/>
    <w:rsid w:val="008711C2"/>
    <w:rsid w:val="008771DD"/>
    <w:rsid w:val="00877FDD"/>
    <w:rsid w:val="0088446D"/>
    <w:rsid w:val="008849C2"/>
    <w:rsid w:val="00885A81"/>
    <w:rsid w:val="00886276"/>
    <w:rsid w:val="0088662B"/>
    <w:rsid w:val="00886BF4"/>
    <w:rsid w:val="00886E9C"/>
    <w:rsid w:val="00890E9A"/>
    <w:rsid w:val="0089139B"/>
    <w:rsid w:val="00891559"/>
    <w:rsid w:val="00892C30"/>
    <w:rsid w:val="00895256"/>
    <w:rsid w:val="008956B3"/>
    <w:rsid w:val="008A0029"/>
    <w:rsid w:val="008A00AD"/>
    <w:rsid w:val="008A0368"/>
    <w:rsid w:val="008A136A"/>
    <w:rsid w:val="008A1643"/>
    <w:rsid w:val="008A1EF6"/>
    <w:rsid w:val="008A5027"/>
    <w:rsid w:val="008A6CB4"/>
    <w:rsid w:val="008B06E9"/>
    <w:rsid w:val="008B07AA"/>
    <w:rsid w:val="008B443A"/>
    <w:rsid w:val="008B4C88"/>
    <w:rsid w:val="008C10BA"/>
    <w:rsid w:val="008C16A0"/>
    <w:rsid w:val="008C17B1"/>
    <w:rsid w:val="008C2265"/>
    <w:rsid w:val="008C2ABD"/>
    <w:rsid w:val="008C772B"/>
    <w:rsid w:val="008D1CCE"/>
    <w:rsid w:val="008D2C0B"/>
    <w:rsid w:val="008D6151"/>
    <w:rsid w:val="008E1575"/>
    <w:rsid w:val="008E2711"/>
    <w:rsid w:val="008E3345"/>
    <w:rsid w:val="008E46D4"/>
    <w:rsid w:val="008E7D03"/>
    <w:rsid w:val="008F166F"/>
    <w:rsid w:val="008F20B2"/>
    <w:rsid w:val="008F3968"/>
    <w:rsid w:val="008F6377"/>
    <w:rsid w:val="008F7494"/>
    <w:rsid w:val="008F78BD"/>
    <w:rsid w:val="008F7E39"/>
    <w:rsid w:val="0090029C"/>
    <w:rsid w:val="009004CB"/>
    <w:rsid w:val="0090052C"/>
    <w:rsid w:val="00900FEC"/>
    <w:rsid w:val="00901580"/>
    <w:rsid w:val="00901984"/>
    <w:rsid w:val="00901B91"/>
    <w:rsid w:val="00905CCB"/>
    <w:rsid w:val="00906126"/>
    <w:rsid w:val="009075FD"/>
    <w:rsid w:val="009079D9"/>
    <w:rsid w:val="00907B77"/>
    <w:rsid w:val="00910AD1"/>
    <w:rsid w:val="00910B69"/>
    <w:rsid w:val="009123AA"/>
    <w:rsid w:val="009126A2"/>
    <w:rsid w:val="009128A3"/>
    <w:rsid w:val="00913159"/>
    <w:rsid w:val="00914057"/>
    <w:rsid w:val="00914863"/>
    <w:rsid w:val="00914E62"/>
    <w:rsid w:val="00915EF0"/>
    <w:rsid w:val="009160EE"/>
    <w:rsid w:val="00916A1A"/>
    <w:rsid w:val="00916AAA"/>
    <w:rsid w:val="00922E1B"/>
    <w:rsid w:val="00923C41"/>
    <w:rsid w:val="0092478D"/>
    <w:rsid w:val="009247C4"/>
    <w:rsid w:val="0092503D"/>
    <w:rsid w:val="009250F2"/>
    <w:rsid w:val="00927BE7"/>
    <w:rsid w:val="00930CF5"/>
    <w:rsid w:val="0093146E"/>
    <w:rsid w:val="00931CF8"/>
    <w:rsid w:val="00933990"/>
    <w:rsid w:val="00933E20"/>
    <w:rsid w:val="00937BA9"/>
    <w:rsid w:val="0094002C"/>
    <w:rsid w:val="00940088"/>
    <w:rsid w:val="0094086D"/>
    <w:rsid w:val="009411EE"/>
    <w:rsid w:val="0094186E"/>
    <w:rsid w:val="00942008"/>
    <w:rsid w:val="009430AF"/>
    <w:rsid w:val="00944714"/>
    <w:rsid w:val="00945786"/>
    <w:rsid w:val="00946665"/>
    <w:rsid w:val="00950D18"/>
    <w:rsid w:val="00951130"/>
    <w:rsid w:val="00954B68"/>
    <w:rsid w:val="00961D6E"/>
    <w:rsid w:val="00962ECC"/>
    <w:rsid w:val="009645FC"/>
    <w:rsid w:val="00966639"/>
    <w:rsid w:val="00967C2E"/>
    <w:rsid w:val="00967CCC"/>
    <w:rsid w:val="00970584"/>
    <w:rsid w:val="00971E3D"/>
    <w:rsid w:val="00971FFF"/>
    <w:rsid w:val="00973322"/>
    <w:rsid w:val="00974B91"/>
    <w:rsid w:val="00976440"/>
    <w:rsid w:val="00980943"/>
    <w:rsid w:val="00980D91"/>
    <w:rsid w:val="00981391"/>
    <w:rsid w:val="00981569"/>
    <w:rsid w:val="00981BD8"/>
    <w:rsid w:val="009831F7"/>
    <w:rsid w:val="009844DB"/>
    <w:rsid w:val="00986B5C"/>
    <w:rsid w:val="00990ED4"/>
    <w:rsid w:val="009910B6"/>
    <w:rsid w:val="00992A16"/>
    <w:rsid w:val="00992BEA"/>
    <w:rsid w:val="00992CBF"/>
    <w:rsid w:val="00995C57"/>
    <w:rsid w:val="00996F53"/>
    <w:rsid w:val="00997701"/>
    <w:rsid w:val="009A05EA"/>
    <w:rsid w:val="009A1652"/>
    <w:rsid w:val="009A2509"/>
    <w:rsid w:val="009A3851"/>
    <w:rsid w:val="009A6192"/>
    <w:rsid w:val="009B1239"/>
    <w:rsid w:val="009B2519"/>
    <w:rsid w:val="009B41CD"/>
    <w:rsid w:val="009B4871"/>
    <w:rsid w:val="009B567A"/>
    <w:rsid w:val="009B5894"/>
    <w:rsid w:val="009B5BFF"/>
    <w:rsid w:val="009B5CE5"/>
    <w:rsid w:val="009C0AC7"/>
    <w:rsid w:val="009C1E2E"/>
    <w:rsid w:val="009C307F"/>
    <w:rsid w:val="009C504F"/>
    <w:rsid w:val="009C663B"/>
    <w:rsid w:val="009C72F6"/>
    <w:rsid w:val="009C7887"/>
    <w:rsid w:val="009D06A3"/>
    <w:rsid w:val="009D1214"/>
    <w:rsid w:val="009D5817"/>
    <w:rsid w:val="009D5A26"/>
    <w:rsid w:val="009D699F"/>
    <w:rsid w:val="009D7A8B"/>
    <w:rsid w:val="009D7FB1"/>
    <w:rsid w:val="009E0241"/>
    <w:rsid w:val="009E13CC"/>
    <w:rsid w:val="009E24BC"/>
    <w:rsid w:val="009E2D6F"/>
    <w:rsid w:val="009E36E4"/>
    <w:rsid w:val="009E3E65"/>
    <w:rsid w:val="009E502D"/>
    <w:rsid w:val="009E6E1E"/>
    <w:rsid w:val="009F0858"/>
    <w:rsid w:val="009F0DCA"/>
    <w:rsid w:val="009F1706"/>
    <w:rsid w:val="009F4BB1"/>
    <w:rsid w:val="009F586C"/>
    <w:rsid w:val="009F7663"/>
    <w:rsid w:val="00A007E9"/>
    <w:rsid w:val="00A02313"/>
    <w:rsid w:val="00A02B62"/>
    <w:rsid w:val="00A034FD"/>
    <w:rsid w:val="00A05152"/>
    <w:rsid w:val="00A05999"/>
    <w:rsid w:val="00A066AE"/>
    <w:rsid w:val="00A07ACF"/>
    <w:rsid w:val="00A10EB5"/>
    <w:rsid w:val="00A11A34"/>
    <w:rsid w:val="00A11CAB"/>
    <w:rsid w:val="00A120B0"/>
    <w:rsid w:val="00A1226A"/>
    <w:rsid w:val="00A14282"/>
    <w:rsid w:val="00A149DC"/>
    <w:rsid w:val="00A14DA4"/>
    <w:rsid w:val="00A15768"/>
    <w:rsid w:val="00A20465"/>
    <w:rsid w:val="00A206C8"/>
    <w:rsid w:val="00A20D2D"/>
    <w:rsid w:val="00A2267A"/>
    <w:rsid w:val="00A24BB4"/>
    <w:rsid w:val="00A25350"/>
    <w:rsid w:val="00A266BC"/>
    <w:rsid w:val="00A34850"/>
    <w:rsid w:val="00A34D73"/>
    <w:rsid w:val="00A3664C"/>
    <w:rsid w:val="00A37995"/>
    <w:rsid w:val="00A425D6"/>
    <w:rsid w:val="00A42E87"/>
    <w:rsid w:val="00A4371B"/>
    <w:rsid w:val="00A43BD6"/>
    <w:rsid w:val="00A44459"/>
    <w:rsid w:val="00A4626D"/>
    <w:rsid w:val="00A4663B"/>
    <w:rsid w:val="00A46843"/>
    <w:rsid w:val="00A501FD"/>
    <w:rsid w:val="00A5244A"/>
    <w:rsid w:val="00A530EF"/>
    <w:rsid w:val="00A53541"/>
    <w:rsid w:val="00A535E7"/>
    <w:rsid w:val="00A53A68"/>
    <w:rsid w:val="00A5517D"/>
    <w:rsid w:val="00A57566"/>
    <w:rsid w:val="00A630CA"/>
    <w:rsid w:val="00A6434F"/>
    <w:rsid w:val="00A65464"/>
    <w:rsid w:val="00A66254"/>
    <w:rsid w:val="00A66EF5"/>
    <w:rsid w:val="00A673E8"/>
    <w:rsid w:val="00A67A71"/>
    <w:rsid w:val="00A70944"/>
    <w:rsid w:val="00A70D1B"/>
    <w:rsid w:val="00A7182C"/>
    <w:rsid w:val="00A71F8D"/>
    <w:rsid w:val="00A72623"/>
    <w:rsid w:val="00A83987"/>
    <w:rsid w:val="00A83E5E"/>
    <w:rsid w:val="00A86387"/>
    <w:rsid w:val="00A86A92"/>
    <w:rsid w:val="00A87D94"/>
    <w:rsid w:val="00A91537"/>
    <w:rsid w:val="00A91B70"/>
    <w:rsid w:val="00A92BB0"/>
    <w:rsid w:val="00A936DA"/>
    <w:rsid w:val="00A93F5A"/>
    <w:rsid w:val="00A957A7"/>
    <w:rsid w:val="00A97DB4"/>
    <w:rsid w:val="00AA132A"/>
    <w:rsid w:val="00AA193E"/>
    <w:rsid w:val="00AA3404"/>
    <w:rsid w:val="00AA4568"/>
    <w:rsid w:val="00AA4C8D"/>
    <w:rsid w:val="00AA5B8D"/>
    <w:rsid w:val="00AA66D7"/>
    <w:rsid w:val="00AA6AB9"/>
    <w:rsid w:val="00AA7985"/>
    <w:rsid w:val="00AB0983"/>
    <w:rsid w:val="00AB0C83"/>
    <w:rsid w:val="00AB0D0B"/>
    <w:rsid w:val="00AB0F5D"/>
    <w:rsid w:val="00AB165B"/>
    <w:rsid w:val="00AB18F5"/>
    <w:rsid w:val="00AB37EA"/>
    <w:rsid w:val="00AB3E3D"/>
    <w:rsid w:val="00AB4460"/>
    <w:rsid w:val="00AB795C"/>
    <w:rsid w:val="00AC01D3"/>
    <w:rsid w:val="00AC087E"/>
    <w:rsid w:val="00AC120F"/>
    <w:rsid w:val="00AC15B7"/>
    <w:rsid w:val="00AC207F"/>
    <w:rsid w:val="00AC3772"/>
    <w:rsid w:val="00AC3CB0"/>
    <w:rsid w:val="00AC496B"/>
    <w:rsid w:val="00AC600A"/>
    <w:rsid w:val="00AC63EF"/>
    <w:rsid w:val="00AD0BCB"/>
    <w:rsid w:val="00AD0D57"/>
    <w:rsid w:val="00AD11D9"/>
    <w:rsid w:val="00AD124B"/>
    <w:rsid w:val="00AD2606"/>
    <w:rsid w:val="00AD2ED1"/>
    <w:rsid w:val="00AD2FA2"/>
    <w:rsid w:val="00AD339C"/>
    <w:rsid w:val="00AD33BD"/>
    <w:rsid w:val="00AD3E47"/>
    <w:rsid w:val="00AD464D"/>
    <w:rsid w:val="00AD5330"/>
    <w:rsid w:val="00AE0BB9"/>
    <w:rsid w:val="00AE0E32"/>
    <w:rsid w:val="00AE417B"/>
    <w:rsid w:val="00AE43CD"/>
    <w:rsid w:val="00AE4833"/>
    <w:rsid w:val="00AF3FD2"/>
    <w:rsid w:val="00AF55EE"/>
    <w:rsid w:val="00AF6094"/>
    <w:rsid w:val="00AF6AA7"/>
    <w:rsid w:val="00AF7370"/>
    <w:rsid w:val="00AF774B"/>
    <w:rsid w:val="00B009AB"/>
    <w:rsid w:val="00B030EC"/>
    <w:rsid w:val="00B0379A"/>
    <w:rsid w:val="00B038F9"/>
    <w:rsid w:val="00B059AF"/>
    <w:rsid w:val="00B07502"/>
    <w:rsid w:val="00B07F16"/>
    <w:rsid w:val="00B10AE2"/>
    <w:rsid w:val="00B10DEF"/>
    <w:rsid w:val="00B12926"/>
    <w:rsid w:val="00B130B2"/>
    <w:rsid w:val="00B146D7"/>
    <w:rsid w:val="00B14AAF"/>
    <w:rsid w:val="00B14BCC"/>
    <w:rsid w:val="00B15AA6"/>
    <w:rsid w:val="00B17155"/>
    <w:rsid w:val="00B17F34"/>
    <w:rsid w:val="00B201DC"/>
    <w:rsid w:val="00B20448"/>
    <w:rsid w:val="00B236FB"/>
    <w:rsid w:val="00B250B8"/>
    <w:rsid w:val="00B27497"/>
    <w:rsid w:val="00B305A2"/>
    <w:rsid w:val="00B33FD8"/>
    <w:rsid w:val="00B34FAE"/>
    <w:rsid w:val="00B354F0"/>
    <w:rsid w:val="00B36271"/>
    <w:rsid w:val="00B36980"/>
    <w:rsid w:val="00B3707A"/>
    <w:rsid w:val="00B3709E"/>
    <w:rsid w:val="00B373AD"/>
    <w:rsid w:val="00B401C1"/>
    <w:rsid w:val="00B411F3"/>
    <w:rsid w:val="00B4301A"/>
    <w:rsid w:val="00B441DF"/>
    <w:rsid w:val="00B44C3B"/>
    <w:rsid w:val="00B456C8"/>
    <w:rsid w:val="00B4793B"/>
    <w:rsid w:val="00B50373"/>
    <w:rsid w:val="00B509E7"/>
    <w:rsid w:val="00B50B99"/>
    <w:rsid w:val="00B54142"/>
    <w:rsid w:val="00B55695"/>
    <w:rsid w:val="00B56512"/>
    <w:rsid w:val="00B57FD5"/>
    <w:rsid w:val="00B60B3C"/>
    <w:rsid w:val="00B62CF5"/>
    <w:rsid w:val="00B6575E"/>
    <w:rsid w:val="00B660BD"/>
    <w:rsid w:val="00B67407"/>
    <w:rsid w:val="00B67822"/>
    <w:rsid w:val="00B678E5"/>
    <w:rsid w:val="00B703AC"/>
    <w:rsid w:val="00B75406"/>
    <w:rsid w:val="00B76A1B"/>
    <w:rsid w:val="00B76E6E"/>
    <w:rsid w:val="00B7746A"/>
    <w:rsid w:val="00B816AE"/>
    <w:rsid w:val="00B83BCE"/>
    <w:rsid w:val="00B84A6F"/>
    <w:rsid w:val="00B868F4"/>
    <w:rsid w:val="00B869F7"/>
    <w:rsid w:val="00B878C0"/>
    <w:rsid w:val="00B90CE8"/>
    <w:rsid w:val="00B920FB"/>
    <w:rsid w:val="00B93271"/>
    <w:rsid w:val="00B9393D"/>
    <w:rsid w:val="00B93EFF"/>
    <w:rsid w:val="00B949D8"/>
    <w:rsid w:val="00B95232"/>
    <w:rsid w:val="00B95BBD"/>
    <w:rsid w:val="00B9723A"/>
    <w:rsid w:val="00BA0D2E"/>
    <w:rsid w:val="00BA118A"/>
    <w:rsid w:val="00BA1A34"/>
    <w:rsid w:val="00BA1EED"/>
    <w:rsid w:val="00BA265C"/>
    <w:rsid w:val="00BA350B"/>
    <w:rsid w:val="00BA3706"/>
    <w:rsid w:val="00BA4028"/>
    <w:rsid w:val="00BA41EB"/>
    <w:rsid w:val="00BA5120"/>
    <w:rsid w:val="00BA6281"/>
    <w:rsid w:val="00BA6BD7"/>
    <w:rsid w:val="00BA6BFD"/>
    <w:rsid w:val="00BA7A60"/>
    <w:rsid w:val="00BB0140"/>
    <w:rsid w:val="00BB0B2B"/>
    <w:rsid w:val="00BB189C"/>
    <w:rsid w:val="00BB1B54"/>
    <w:rsid w:val="00BB44B5"/>
    <w:rsid w:val="00BB67FD"/>
    <w:rsid w:val="00BB7BE3"/>
    <w:rsid w:val="00BB7F8B"/>
    <w:rsid w:val="00BC3C91"/>
    <w:rsid w:val="00BC4126"/>
    <w:rsid w:val="00BC4B3B"/>
    <w:rsid w:val="00BC4B92"/>
    <w:rsid w:val="00BC4DDE"/>
    <w:rsid w:val="00BC58B7"/>
    <w:rsid w:val="00BD044A"/>
    <w:rsid w:val="00BD34C7"/>
    <w:rsid w:val="00BD75ED"/>
    <w:rsid w:val="00BD7EF4"/>
    <w:rsid w:val="00BE00AD"/>
    <w:rsid w:val="00BE32BD"/>
    <w:rsid w:val="00BE55FA"/>
    <w:rsid w:val="00BE5EFD"/>
    <w:rsid w:val="00BE65A8"/>
    <w:rsid w:val="00BE77E4"/>
    <w:rsid w:val="00BF0685"/>
    <w:rsid w:val="00BF2C39"/>
    <w:rsid w:val="00BF3514"/>
    <w:rsid w:val="00BF3636"/>
    <w:rsid w:val="00BF471E"/>
    <w:rsid w:val="00BF5098"/>
    <w:rsid w:val="00BF5705"/>
    <w:rsid w:val="00C018B2"/>
    <w:rsid w:val="00C039D1"/>
    <w:rsid w:val="00C03C43"/>
    <w:rsid w:val="00C0474C"/>
    <w:rsid w:val="00C05A9C"/>
    <w:rsid w:val="00C05D14"/>
    <w:rsid w:val="00C113C0"/>
    <w:rsid w:val="00C11CF4"/>
    <w:rsid w:val="00C13B98"/>
    <w:rsid w:val="00C14E27"/>
    <w:rsid w:val="00C16382"/>
    <w:rsid w:val="00C20A95"/>
    <w:rsid w:val="00C20E0A"/>
    <w:rsid w:val="00C20EC9"/>
    <w:rsid w:val="00C22310"/>
    <w:rsid w:val="00C22871"/>
    <w:rsid w:val="00C22EB5"/>
    <w:rsid w:val="00C23015"/>
    <w:rsid w:val="00C23725"/>
    <w:rsid w:val="00C23A79"/>
    <w:rsid w:val="00C24524"/>
    <w:rsid w:val="00C24CAA"/>
    <w:rsid w:val="00C257D5"/>
    <w:rsid w:val="00C333C0"/>
    <w:rsid w:val="00C360A0"/>
    <w:rsid w:val="00C36407"/>
    <w:rsid w:val="00C40C4A"/>
    <w:rsid w:val="00C41A79"/>
    <w:rsid w:val="00C440B4"/>
    <w:rsid w:val="00C44B74"/>
    <w:rsid w:val="00C462D6"/>
    <w:rsid w:val="00C473DB"/>
    <w:rsid w:val="00C475D9"/>
    <w:rsid w:val="00C47B8D"/>
    <w:rsid w:val="00C52146"/>
    <w:rsid w:val="00C53849"/>
    <w:rsid w:val="00C54306"/>
    <w:rsid w:val="00C55F11"/>
    <w:rsid w:val="00C568A5"/>
    <w:rsid w:val="00C57F2C"/>
    <w:rsid w:val="00C64B6C"/>
    <w:rsid w:val="00C655B4"/>
    <w:rsid w:val="00C65ADA"/>
    <w:rsid w:val="00C65B30"/>
    <w:rsid w:val="00C6629C"/>
    <w:rsid w:val="00C67633"/>
    <w:rsid w:val="00C679DF"/>
    <w:rsid w:val="00C71373"/>
    <w:rsid w:val="00C74402"/>
    <w:rsid w:val="00C75180"/>
    <w:rsid w:val="00C80411"/>
    <w:rsid w:val="00C821AB"/>
    <w:rsid w:val="00C82B97"/>
    <w:rsid w:val="00C83698"/>
    <w:rsid w:val="00C84E9C"/>
    <w:rsid w:val="00C86EF8"/>
    <w:rsid w:val="00C87685"/>
    <w:rsid w:val="00C879F9"/>
    <w:rsid w:val="00C9125F"/>
    <w:rsid w:val="00C95B28"/>
    <w:rsid w:val="00CA1114"/>
    <w:rsid w:val="00CA348B"/>
    <w:rsid w:val="00CA3CD2"/>
    <w:rsid w:val="00CA425B"/>
    <w:rsid w:val="00CA4657"/>
    <w:rsid w:val="00CA6C99"/>
    <w:rsid w:val="00CA731A"/>
    <w:rsid w:val="00CB2DCE"/>
    <w:rsid w:val="00CB4905"/>
    <w:rsid w:val="00CB526D"/>
    <w:rsid w:val="00CC03FD"/>
    <w:rsid w:val="00CC21EB"/>
    <w:rsid w:val="00CC40C3"/>
    <w:rsid w:val="00CC5C52"/>
    <w:rsid w:val="00CC63DD"/>
    <w:rsid w:val="00CC77E8"/>
    <w:rsid w:val="00CC7BD3"/>
    <w:rsid w:val="00CD0625"/>
    <w:rsid w:val="00CD19E4"/>
    <w:rsid w:val="00CD4DCF"/>
    <w:rsid w:val="00CD5231"/>
    <w:rsid w:val="00CD69C3"/>
    <w:rsid w:val="00CD6D77"/>
    <w:rsid w:val="00CE23D0"/>
    <w:rsid w:val="00CE2E56"/>
    <w:rsid w:val="00CE3646"/>
    <w:rsid w:val="00CE36D9"/>
    <w:rsid w:val="00CE3C98"/>
    <w:rsid w:val="00CE4415"/>
    <w:rsid w:val="00CE461D"/>
    <w:rsid w:val="00CE576E"/>
    <w:rsid w:val="00CE5B8D"/>
    <w:rsid w:val="00CE72C3"/>
    <w:rsid w:val="00CF128E"/>
    <w:rsid w:val="00CF12D9"/>
    <w:rsid w:val="00CF1AC1"/>
    <w:rsid w:val="00CF30B1"/>
    <w:rsid w:val="00CF5009"/>
    <w:rsid w:val="00CF5D45"/>
    <w:rsid w:val="00CF620B"/>
    <w:rsid w:val="00CF6A57"/>
    <w:rsid w:val="00CF71E9"/>
    <w:rsid w:val="00D011B6"/>
    <w:rsid w:val="00D012B0"/>
    <w:rsid w:val="00D02513"/>
    <w:rsid w:val="00D02A7E"/>
    <w:rsid w:val="00D075F1"/>
    <w:rsid w:val="00D11024"/>
    <w:rsid w:val="00D13FB8"/>
    <w:rsid w:val="00D14FA2"/>
    <w:rsid w:val="00D1617C"/>
    <w:rsid w:val="00D1683C"/>
    <w:rsid w:val="00D17684"/>
    <w:rsid w:val="00D17AE2"/>
    <w:rsid w:val="00D20A4C"/>
    <w:rsid w:val="00D220B5"/>
    <w:rsid w:val="00D235C7"/>
    <w:rsid w:val="00D24733"/>
    <w:rsid w:val="00D262E1"/>
    <w:rsid w:val="00D279BF"/>
    <w:rsid w:val="00D30117"/>
    <w:rsid w:val="00D30922"/>
    <w:rsid w:val="00D32DE9"/>
    <w:rsid w:val="00D34CDC"/>
    <w:rsid w:val="00D3510A"/>
    <w:rsid w:val="00D35582"/>
    <w:rsid w:val="00D40AAF"/>
    <w:rsid w:val="00D41D2E"/>
    <w:rsid w:val="00D43052"/>
    <w:rsid w:val="00D43582"/>
    <w:rsid w:val="00D44B6C"/>
    <w:rsid w:val="00D44DF3"/>
    <w:rsid w:val="00D4664A"/>
    <w:rsid w:val="00D47933"/>
    <w:rsid w:val="00D5153F"/>
    <w:rsid w:val="00D52F51"/>
    <w:rsid w:val="00D54D0B"/>
    <w:rsid w:val="00D56B10"/>
    <w:rsid w:val="00D56FA4"/>
    <w:rsid w:val="00D61051"/>
    <w:rsid w:val="00D615BC"/>
    <w:rsid w:val="00D624DD"/>
    <w:rsid w:val="00D6262A"/>
    <w:rsid w:val="00D635DD"/>
    <w:rsid w:val="00D63E46"/>
    <w:rsid w:val="00D641A1"/>
    <w:rsid w:val="00D650CC"/>
    <w:rsid w:val="00D6632B"/>
    <w:rsid w:val="00D66D15"/>
    <w:rsid w:val="00D676EB"/>
    <w:rsid w:val="00D6770C"/>
    <w:rsid w:val="00D71085"/>
    <w:rsid w:val="00D71122"/>
    <w:rsid w:val="00D71FF3"/>
    <w:rsid w:val="00D725F1"/>
    <w:rsid w:val="00D7346D"/>
    <w:rsid w:val="00D74A82"/>
    <w:rsid w:val="00D77375"/>
    <w:rsid w:val="00D81FE8"/>
    <w:rsid w:val="00D82032"/>
    <w:rsid w:val="00D82100"/>
    <w:rsid w:val="00D84713"/>
    <w:rsid w:val="00D85632"/>
    <w:rsid w:val="00D8588E"/>
    <w:rsid w:val="00D874FB"/>
    <w:rsid w:val="00D945D9"/>
    <w:rsid w:val="00D94881"/>
    <w:rsid w:val="00D94EBB"/>
    <w:rsid w:val="00D95675"/>
    <w:rsid w:val="00D9590C"/>
    <w:rsid w:val="00D96CB9"/>
    <w:rsid w:val="00D97634"/>
    <w:rsid w:val="00D97BCE"/>
    <w:rsid w:val="00DA0BD9"/>
    <w:rsid w:val="00DA0EFB"/>
    <w:rsid w:val="00DA0F66"/>
    <w:rsid w:val="00DA61C0"/>
    <w:rsid w:val="00DB1064"/>
    <w:rsid w:val="00DB12BF"/>
    <w:rsid w:val="00DB16BC"/>
    <w:rsid w:val="00DB2168"/>
    <w:rsid w:val="00DB3575"/>
    <w:rsid w:val="00DB3FB7"/>
    <w:rsid w:val="00DB5298"/>
    <w:rsid w:val="00DB5314"/>
    <w:rsid w:val="00DB5BE8"/>
    <w:rsid w:val="00DB7730"/>
    <w:rsid w:val="00DC05CF"/>
    <w:rsid w:val="00DC0E77"/>
    <w:rsid w:val="00DC1D8E"/>
    <w:rsid w:val="00DC423B"/>
    <w:rsid w:val="00DD4FBF"/>
    <w:rsid w:val="00DE2408"/>
    <w:rsid w:val="00DE385B"/>
    <w:rsid w:val="00DE45AA"/>
    <w:rsid w:val="00DF035E"/>
    <w:rsid w:val="00DF0E47"/>
    <w:rsid w:val="00DF2A5C"/>
    <w:rsid w:val="00DF4241"/>
    <w:rsid w:val="00DF6E7D"/>
    <w:rsid w:val="00DF75B1"/>
    <w:rsid w:val="00DF7E7D"/>
    <w:rsid w:val="00DF7F16"/>
    <w:rsid w:val="00E02040"/>
    <w:rsid w:val="00E022C0"/>
    <w:rsid w:val="00E0331A"/>
    <w:rsid w:val="00E037CA"/>
    <w:rsid w:val="00E04B13"/>
    <w:rsid w:val="00E06E61"/>
    <w:rsid w:val="00E07289"/>
    <w:rsid w:val="00E07E96"/>
    <w:rsid w:val="00E1195B"/>
    <w:rsid w:val="00E144AD"/>
    <w:rsid w:val="00E15766"/>
    <w:rsid w:val="00E159BC"/>
    <w:rsid w:val="00E16A54"/>
    <w:rsid w:val="00E21042"/>
    <w:rsid w:val="00E21379"/>
    <w:rsid w:val="00E2248E"/>
    <w:rsid w:val="00E22DAB"/>
    <w:rsid w:val="00E22F5D"/>
    <w:rsid w:val="00E23898"/>
    <w:rsid w:val="00E24210"/>
    <w:rsid w:val="00E261C7"/>
    <w:rsid w:val="00E30562"/>
    <w:rsid w:val="00E31558"/>
    <w:rsid w:val="00E32CE6"/>
    <w:rsid w:val="00E353E2"/>
    <w:rsid w:val="00E35487"/>
    <w:rsid w:val="00E365AD"/>
    <w:rsid w:val="00E36867"/>
    <w:rsid w:val="00E40A5F"/>
    <w:rsid w:val="00E42904"/>
    <w:rsid w:val="00E432B2"/>
    <w:rsid w:val="00E43CDB"/>
    <w:rsid w:val="00E44AAE"/>
    <w:rsid w:val="00E45584"/>
    <w:rsid w:val="00E460D8"/>
    <w:rsid w:val="00E47535"/>
    <w:rsid w:val="00E51134"/>
    <w:rsid w:val="00E51A26"/>
    <w:rsid w:val="00E550F5"/>
    <w:rsid w:val="00E558CD"/>
    <w:rsid w:val="00E57264"/>
    <w:rsid w:val="00E572ED"/>
    <w:rsid w:val="00E62B00"/>
    <w:rsid w:val="00E62F69"/>
    <w:rsid w:val="00E66E13"/>
    <w:rsid w:val="00E71074"/>
    <w:rsid w:val="00E71B72"/>
    <w:rsid w:val="00E7223B"/>
    <w:rsid w:val="00E73C7A"/>
    <w:rsid w:val="00E7606A"/>
    <w:rsid w:val="00E76DD0"/>
    <w:rsid w:val="00E772B4"/>
    <w:rsid w:val="00E77779"/>
    <w:rsid w:val="00E77C9E"/>
    <w:rsid w:val="00E80154"/>
    <w:rsid w:val="00E81481"/>
    <w:rsid w:val="00E81CFE"/>
    <w:rsid w:val="00E82DC8"/>
    <w:rsid w:val="00E82E47"/>
    <w:rsid w:val="00E83818"/>
    <w:rsid w:val="00E83E49"/>
    <w:rsid w:val="00E854BF"/>
    <w:rsid w:val="00E86AFA"/>
    <w:rsid w:val="00E878CB"/>
    <w:rsid w:val="00E90328"/>
    <w:rsid w:val="00E91E90"/>
    <w:rsid w:val="00E924DC"/>
    <w:rsid w:val="00E93BB8"/>
    <w:rsid w:val="00E94979"/>
    <w:rsid w:val="00E966DB"/>
    <w:rsid w:val="00EA040E"/>
    <w:rsid w:val="00EA09B3"/>
    <w:rsid w:val="00EA2019"/>
    <w:rsid w:val="00EA236D"/>
    <w:rsid w:val="00EA239D"/>
    <w:rsid w:val="00EA23A5"/>
    <w:rsid w:val="00EA4CDE"/>
    <w:rsid w:val="00EA534C"/>
    <w:rsid w:val="00EA599C"/>
    <w:rsid w:val="00EA65F7"/>
    <w:rsid w:val="00EA7E09"/>
    <w:rsid w:val="00EB349C"/>
    <w:rsid w:val="00EB6213"/>
    <w:rsid w:val="00EB66C5"/>
    <w:rsid w:val="00EC298B"/>
    <w:rsid w:val="00EC2D4C"/>
    <w:rsid w:val="00EC494C"/>
    <w:rsid w:val="00EC5ECF"/>
    <w:rsid w:val="00EC6C80"/>
    <w:rsid w:val="00EC7072"/>
    <w:rsid w:val="00EC77B9"/>
    <w:rsid w:val="00ED043D"/>
    <w:rsid w:val="00ED1A8C"/>
    <w:rsid w:val="00ED2325"/>
    <w:rsid w:val="00ED6072"/>
    <w:rsid w:val="00EE278A"/>
    <w:rsid w:val="00EE6E4A"/>
    <w:rsid w:val="00EF04D7"/>
    <w:rsid w:val="00EF1346"/>
    <w:rsid w:val="00F00E04"/>
    <w:rsid w:val="00F019CE"/>
    <w:rsid w:val="00F01F6B"/>
    <w:rsid w:val="00F02B69"/>
    <w:rsid w:val="00F034FA"/>
    <w:rsid w:val="00F0393A"/>
    <w:rsid w:val="00F0457A"/>
    <w:rsid w:val="00F05266"/>
    <w:rsid w:val="00F05676"/>
    <w:rsid w:val="00F06B1D"/>
    <w:rsid w:val="00F072B5"/>
    <w:rsid w:val="00F12D39"/>
    <w:rsid w:val="00F131FC"/>
    <w:rsid w:val="00F206E0"/>
    <w:rsid w:val="00F2138B"/>
    <w:rsid w:val="00F2270C"/>
    <w:rsid w:val="00F2314B"/>
    <w:rsid w:val="00F26024"/>
    <w:rsid w:val="00F26E57"/>
    <w:rsid w:val="00F276DA"/>
    <w:rsid w:val="00F2788A"/>
    <w:rsid w:val="00F31E6F"/>
    <w:rsid w:val="00F32FD4"/>
    <w:rsid w:val="00F34DCE"/>
    <w:rsid w:val="00F36B8C"/>
    <w:rsid w:val="00F40AAF"/>
    <w:rsid w:val="00F41EA4"/>
    <w:rsid w:val="00F433E4"/>
    <w:rsid w:val="00F434FB"/>
    <w:rsid w:val="00F464B6"/>
    <w:rsid w:val="00F5063A"/>
    <w:rsid w:val="00F50EDD"/>
    <w:rsid w:val="00F525D2"/>
    <w:rsid w:val="00F52E27"/>
    <w:rsid w:val="00F52F10"/>
    <w:rsid w:val="00F5442B"/>
    <w:rsid w:val="00F55413"/>
    <w:rsid w:val="00F5655E"/>
    <w:rsid w:val="00F575ED"/>
    <w:rsid w:val="00F57C1C"/>
    <w:rsid w:val="00F6155C"/>
    <w:rsid w:val="00F62470"/>
    <w:rsid w:val="00F624F7"/>
    <w:rsid w:val="00F62CE9"/>
    <w:rsid w:val="00F70E22"/>
    <w:rsid w:val="00F70F83"/>
    <w:rsid w:val="00F7287E"/>
    <w:rsid w:val="00F73DB2"/>
    <w:rsid w:val="00F75D71"/>
    <w:rsid w:val="00F76001"/>
    <w:rsid w:val="00F76A7B"/>
    <w:rsid w:val="00F80AC4"/>
    <w:rsid w:val="00F81478"/>
    <w:rsid w:val="00F83797"/>
    <w:rsid w:val="00F83F79"/>
    <w:rsid w:val="00F84C1F"/>
    <w:rsid w:val="00F84EEA"/>
    <w:rsid w:val="00F85A6E"/>
    <w:rsid w:val="00F872F6"/>
    <w:rsid w:val="00F87993"/>
    <w:rsid w:val="00F87BF3"/>
    <w:rsid w:val="00F913DC"/>
    <w:rsid w:val="00F92B0E"/>
    <w:rsid w:val="00F9417F"/>
    <w:rsid w:val="00F94C69"/>
    <w:rsid w:val="00F954A0"/>
    <w:rsid w:val="00F96293"/>
    <w:rsid w:val="00FA1779"/>
    <w:rsid w:val="00FA4F90"/>
    <w:rsid w:val="00FA66B4"/>
    <w:rsid w:val="00FB2A2D"/>
    <w:rsid w:val="00FB352B"/>
    <w:rsid w:val="00FB3637"/>
    <w:rsid w:val="00FB36FB"/>
    <w:rsid w:val="00FB50BB"/>
    <w:rsid w:val="00FB5694"/>
    <w:rsid w:val="00FB781A"/>
    <w:rsid w:val="00FC05D0"/>
    <w:rsid w:val="00FC2CC7"/>
    <w:rsid w:val="00FC6D69"/>
    <w:rsid w:val="00FC7083"/>
    <w:rsid w:val="00FC73A9"/>
    <w:rsid w:val="00FC7C8D"/>
    <w:rsid w:val="00FD02A6"/>
    <w:rsid w:val="00FD1622"/>
    <w:rsid w:val="00FD1F39"/>
    <w:rsid w:val="00FD33F3"/>
    <w:rsid w:val="00FD47D6"/>
    <w:rsid w:val="00FE0860"/>
    <w:rsid w:val="00FE0AEE"/>
    <w:rsid w:val="00FE4700"/>
    <w:rsid w:val="00FE783C"/>
    <w:rsid w:val="00FF1037"/>
    <w:rsid w:val="00FF13A3"/>
    <w:rsid w:val="00FF1A9A"/>
    <w:rsid w:val="00FF279A"/>
    <w:rsid w:val="00FF2EB2"/>
    <w:rsid w:val="00FF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3FE3CD0B"/>
  <w15:docId w15:val="{0D2F6ECA-AC07-4F06-890A-F8BEDA34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B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B84A6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rsid w:val="00BE65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2722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B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6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B5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06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B5D"/>
    <w:rPr>
      <w:rFonts w:ascii="Calibri" w:eastAsia="Times New Roman" w:hAnsi="Calibri" w:cs="Times New Roman"/>
    </w:rPr>
  </w:style>
  <w:style w:type="character" w:customStyle="1" w:styleId="af-doc-l-nav-esp">
    <w:name w:val="af-doc-l-nav-esp"/>
    <w:rsid w:val="00766F1F"/>
  </w:style>
  <w:style w:type="paragraph" w:customStyle="1" w:styleId="Default">
    <w:name w:val="Default"/>
    <w:rsid w:val="00F045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resalte">
    <w:name w:val="resalte"/>
    <w:basedOn w:val="Fuentedeprrafopredeter"/>
    <w:rsid w:val="00F0457A"/>
  </w:style>
  <w:style w:type="character" w:customStyle="1" w:styleId="apple-converted-space">
    <w:name w:val="apple-converted-space"/>
    <w:basedOn w:val="Fuentedeprrafopredeter"/>
    <w:rsid w:val="00F0457A"/>
  </w:style>
  <w:style w:type="character" w:customStyle="1" w:styleId="Ttulo3Car">
    <w:name w:val="Título 3 Car"/>
    <w:basedOn w:val="Fuentedeprrafopredeter"/>
    <w:link w:val="Ttulo3"/>
    <w:uiPriority w:val="9"/>
    <w:rsid w:val="00B84A6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Sangra2detindependiente1">
    <w:name w:val="Sangría 2 de t. independiente1"/>
    <w:basedOn w:val="Normal"/>
    <w:rsid w:val="00AD33BD"/>
    <w:pPr>
      <w:suppressAutoHyphens/>
      <w:spacing w:after="0" w:line="240" w:lineRule="auto"/>
      <w:ind w:firstLine="708"/>
    </w:pPr>
    <w:rPr>
      <w:rFonts w:ascii="Times New Roman" w:hAnsi="Times New Roman"/>
      <w:sz w:val="20"/>
      <w:szCs w:val="24"/>
      <w:lang w:eastAsia="zh-CN"/>
    </w:rPr>
  </w:style>
  <w:style w:type="paragraph" w:styleId="Textonotapie">
    <w:name w:val="footnote text"/>
    <w:basedOn w:val="Normal"/>
    <w:link w:val="TextonotapieCar"/>
    <w:rsid w:val="00D075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75F1"/>
    <w:rPr>
      <w:rFonts w:ascii="Calibri" w:eastAsia="Times New Roman" w:hAnsi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7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33CA0"/>
    <w:pPr>
      <w:spacing w:after="0"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eastAsia="es-ES"/>
    </w:rPr>
  </w:style>
  <w:style w:type="paragraph" w:customStyle="1" w:styleId="Sangra3detindependiente1">
    <w:name w:val="Sangría 3 de t. independiente1"/>
    <w:basedOn w:val="Normal"/>
    <w:rsid w:val="009F586C"/>
    <w:pPr>
      <w:suppressAutoHyphens/>
      <w:spacing w:after="0" w:line="240" w:lineRule="auto"/>
      <w:ind w:right="-1" w:firstLine="708"/>
      <w:jc w:val="both"/>
    </w:pPr>
    <w:rPr>
      <w:rFonts w:ascii="Times New Roman" w:hAnsi="Times New Roman"/>
      <w:sz w:val="24"/>
      <w:szCs w:val="20"/>
      <w:lang w:val="es-ES_tradnl" w:eastAsia="zh-CN"/>
    </w:rPr>
  </w:style>
  <w:style w:type="paragraph" w:styleId="Sangra2detindependiente">
    <w:name w:val="Body Text Indent 2"/>
    <w:basedOn w:val="Normal"/>
    <w:link w:val="Sangra2detindependienteCar"/>
    <w:rsid w:val="008E3345"/>
    <w:pPr>
      <w:spacing w:after="0" w:line="240" w:lineRule="auto"/>
      <w:ind w:firstLine="708"/>
    </w:pPr>
    <w:rPr>
      <w:rFonts w:ascii="Times New Roman" w:hAnsi="Times New Roman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E3345"/>
    <w:rPr>
      <w:rFonts w:ascii="Times New Roman" w:eastAsia="Times New Roman" w:hAnsi="Times New Roman"/>
      <w:szCs w:val="24"/>
    </w:rPr>
  </w:style>
  <w:style w:type="character" w:styleId="Textoennegrita">
    <w:name w:val="Strong"/>
    <w:basedOn w:val="Fuentedeprrafopredeter"/>
    <w:uiPriority w:val="22"/>
    <w:qFormat/>
    <w:rsid w:val="00F464B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A1652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F85A6E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5734D-8E07-4E7A-986B-C805611B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3474</Words>
  <Characters>19113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José Antonio</cp:lastModifiedBy>
  <cp:revision>61</cp:revision>
  <cp:lastPrinted>2024-02-15T08:01:00Z</cp:lastPrinted>
  <dcterms:created xsi:type="dcterms:W3CDTF">2022-10-01T18:14:00Z</dcterms:created>
  <dcterms:modified xsi:type="dcterms:W3CDTF">2024-02-18T17:57:00Z</dcterms:modified>
</cp:coreProperties>
</file>