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1FD2" w:rsidRDefault="00F34609">
      <w:pPr>
        <w:pStyle w:val="Ttulo1"/>
        <w:rPr>
          <w:u w:val="single"/>
        </w:rPr>
      </w:pPr>
      <w:r>
        <w:rPr>
          <w:u w:val="single"/>
        </w:rPr>
        <w:t xml:space="preserve">                           </w:t>
      </w:r>
    </w:p>
    <w:p w:rsidR="00F85A9B" w:rsidRPr="00AD70C9" w:rsidRDefault="00F45D9D">
      <w:pPr>
        <w:pStyle w:val="Ttulo1"/>
        <w:rPr>
          <w:color w:val="auto"/>
          <w:u w:val="single"/>
        </w:rPr>
      </w:pPr>
      <w:r w:rsidRPr="00F45D9D">
        <w:rPr>
          <w:color w:val="auto"/>
        </w:rPr>
        <w:t xml:space="preserve">     </w:t>
      </w:r>
      <w:r w:rsidR="00971FD2" w:rsidRPr="00AD70C9">
        <w:rPr>
          <w:color w:val="auto"/>
          <w:u w:val="single"/>
        </w:rPr>
        <w:t xml:space="preserve">REGLAS PARA </w:t>
      </w:r>
      <w:r w:rsidR="00F85A9B" w:rsidRPr="00AD70C9">
        <w:rPr>
          <w:color w:val="auto"/>
          <w:u w:val="single"/>
        </w:rPr>
        <w:t>EL EST</w:t>
      </w:r>
      <w:r w:rsidR="00F34609" w:rsidRPr="00AD70C9">
        <w:rPr>
          <w:color w:val="auto"/>
          <w:u w:val="single"/>
        </w:rPr>
        <w:t>ABL</w:t>
      </w:r>
      <w:r w:rsidR="00F85A9B" w:rsidRPr="00AD70C9">
        <w:rPr>
          <w:color w:val="auto"/>
          <w:u w:val="single"/>
        </w:rPr>
        <w:t>ECIMIENTO DE PRESCRIPCIONES TECNICAS.</w:t>
      </w:r>
      <w:r w:rsidR="00F34609" w:rsidRPr="00AD70C9">
        <w:rPr>
          <w:color w:val="auto"/>
          <w:u w:val="single"/>
        </w:rPr>
        <w:t xml:space="preserve"> </w:t>
      </w:r>
    </w:p>
    <w:p w:rsidR="00F34609" w:rsidRPr="00AD70C9" w:rsidRDefault="00F45D9D" w:rsidP="00F34609">
      <w:pPr>
        <w:pStyle w:val="Ttulo1"/>
        <w:rPr>
          <w:color w:val="auto"/>
          <w:u w:val="single"/>
        </w:rPr>
      </w:pPr>
      <w:r w:rsidRPr="00F45D9D">
        <w:rPr>
          <w:color w:val="auto"/>
        </w:rPr>
        <w:t xml:space="preserve">         </w:t>
      </w:r>
      <w:r w:rsidR="00F34609" w:rsidRPr="00AD70C9">
        <w:rPr>
          <w:color w:val="auto"/>
          <w:u w:val="single"/>
        </w:rPr>
        <w:t>MARCO NORMATIVO. ARTS.124 A 128 LCSP.</w:t>
      </w:r>
      <w:r w:rsidR="00DB5BE1" w:rsidRPr="00AD70C9">
        <w:rPr>
          <w:color w:val="auto"/>
          <w:u w:val="single"/>
        </w:rPr>
        <w:t xml:space="preserve"> Art.68 RD 1098/2001</w:t>
      </w:r>
    </w:p>
    <w:p w:rsidR="00DB5BE1" w:rsidRDefault="00DB5BE1" w:rsidP="00DB5BE1"/>
    <w:p w:rsidR="00AD70C9" w:rsidRPr="00AD70C9" w:rsidRDefault="00AD70C9" w:rsidP="00DB5BE1">
      <w:pPr>
        <w:rPr>
          <w:b/>
          <w:u w:val="single"/>
        </w:rPr>
      </w:pPr>
      <w:r>
        <w:t xml:space="preserve">                              </w:t>
      </w:r>
      <w:r w:rsidRPr="00AD70C9">
        <w:rPr>
          <w:b/>
          <w:u w:val="single"/>
        </w:rPr>
        <w:t>CONSIDERACIONES GENERALES</w:t>
      </w:r>
    </w:p>
    <w:p w:rsidR="00AD70C9" w:rsidRDefault="00AD70C9" w:rsidP="00DB5BE1">
      <w:pPr>
        <w:spacing w:after="0"/>
        <w:rPr>
          <w:rFonts w:eastAsiaTheme="minorHAnsi"/>
          <w:shd w:val="clear" w:color="auto" w:fill="FFFFFF"/>
          <w:lang w:eastAsia="en-US"/>
        </w:rPr>
      </w:pPr>
    </w:p>
    <w:p w:rsidR="00B92EC1" w:rsidRDefault="00B92EC1" w:rsidP="00DB5BE1">
      <w:pPr>
        <w:spacing w:after="0"/>
        <w:rPr>
          <w:rFonts w:eastAsiaTheme="minorHAnsi"/>
          <w:shd w:val="clear" w:color="auto" w:fill="FFFFFF"/>
          <w:lang w:eastAsia="en-US"/>
        </w:rPr>
      </w:pPr>
    </w:p>
    <w:p w:rsidR="00DB5BE1" w:rsidRPr="00DB5BE1" w:rsidRDefault="00DB5BE1" w:rsidP="00DB5BE1">
      <w:pPr>
        <w:spacing w:after="0"/>
        <w:rPr>
          <w:rFonts w:eastAsiaTheme="minorHAnsi"/>
          <w:b/>
          <w:shd w:val="clear" w:color="auto" w:fill="FFFFFF"/>
          <w:lang w:eastAsia="en-US"/>
        </w:rPr>
      </w:pPr>
      <w:r w:rsidRPr="00DB5BE1">
        <w:rPr>
          <w:rFonts w:eastAsiaTheme="minorHAnsi"/>
          <w:shd w:val="clear" w:color="auto" w:fill="FFFFFF"/>
          <w:lang w:eastAsia="en-US"/>
        </w:rPr>
        <w:t xml:space="preserve">El Órgano de Contratación aprobará los </w:t>
      </w:r>
      <w:r w:rsidRPr="00DB5BE1">
        <w:rPr>
          <w:rFonts w:eastAsiaTheme="minorHAnsi"/>
          <w:i/>
          <w:shd w:val="clear" w:color="auto" w:fill="FFFFFF"/>
          <w:lang w:eastAsia="en-US"/>
        </w:rPr>
        <w:t xml:space="preserve">pliegos y documentos que contengan las </w:t>
      </w:r>
      <w:r w:rsidRPr="00DB5BE1">
        <w:rPr>
          <w:rFonts w:eastAsiaTheme="minorHAnsi"/>
          <w:b/>
          <w:i/>
          <w:shd w:val="clear" w:color="auto" w:fill="FFFFFF"/>
          <w:lang w:eastAsia="en-US"/>
        </w:rPr>
        <w:t>prescripciones técnicas particulares que hayan de regir la realización de la prestación y definan sus calidades, sus condiciones sociales y ambientales</w:t>
      </w:r>
      <w:r w:rsidRPr="00DB5BE1">
        <w:rPr>
          <w:rFonts w:eastAsiaTheme="minorHAnsi"/>
          <w:i/>
          <w:shd w:val="clear" w:color="auto" w:fill="FFFFFF"/>
          <w:lang w:eastAsia="en-US"/>
        </w:rPr>
        <w:t xml:space="preserve">, de conformidad con los requisitos que para cada contrato establece la presente Ley </w:t>
      </w:r>
      <w:r w:rsidRPr="00DB5BE1">
        <w:rPr>
          <w:rFonts w:eastAsiaTheme="minorHAnsi"/>
          <w:b/>
          <w:i/>
          <w:shd w:val="clear" w:color="auto" w:fill="FFFFFF"/>
          <w:lang w:eastAsia="en-US"/>
        </w:rPr>
        <w:t>(art. 124 LCSP)</w:t>
      </w:r>
    </w:p>
    <w:p w:rsidR="00DB5BE1" w:rsidRPr="00DB5BE1" w:rsidRDefault="00DB5BE1" w:rsidP="00DB5BE1">
      <w:pPr>
        <w:spacing w:after="0"/>
        <w:rPr>
          <w:rFonts w:eastAsiaTheme="minorHAnsi"/>
          <w:b/>
          <w:shd w:val="clear" w:color="auto" w:fill="FFFFFF"/>
          <w:lang w:eastAsia="en-US"/>
        </w:rPr>
      </w:pPr>
    </w:p>
    <w:p w:rsidR="00DB5BE1" w:rsidRDefault="00DB5BE1" w:rsidP="00DB5BE1">
      <w:pPr>
        <w:spacing w:after="0"/>
        <w:rPr>
          <w:rFonts w:eastAsiaTheme="minorHAnsi"/>
          <w:b/>
          <w:bCs/>
          <w:i/>
          <w:shd w:val="clear" w:color="auto" w:fill="FFFFFF"/>
          <w:lang w:eastAsia="en-US"/>
        </w:rPr>
      </w:pPr>
    </w:p>
    <w:p w:rsidR="00DB5BE1" w:rsidRDefault="00DB5BE1" w:rsidP="00DB5BE1">
      <w:pPr>
        <w:spacing w:after="0"/>
        <w:rPr>
          <w:rFonts w:eastAsiaTheme="minorHAnsi"/>
          <w:bCs/>
          <w:i/>
          <w:shd w:val="clear" w:color="auto" w:fill="FFFFFF"/>
          <w:lang w:eastAsia="en-US"/>
        </w:rPr>
      </w:pPr>
      <w:r w:rsidRPr="00DB5BE1">
        <w:rPr>
          <w:rFonts w:eastAsiaTheme="minorHAnsi"/>
          <w:b/>
          <w:bCs/>
          <w:i/>
          <w:shd w:val="clear" w:color="auto" w:fill="FFFFFF"/>
          <w:lang w:eastAsia="en-US"/>
        </w:rPr>
        <w:t>Artículo 68</w:t>
      </w:r>
      <w:r w:rsidR="00F45D9D">
        <w:rPr>
          <w:rFonts w:eastAsiaTheme="minorHAnsi"/>
          <w:b/>
          <w:bCs/>
          <w:i/>
          <w:shd w:val="clear" w:color="auto" w:fill="FFFFFF"/>
          <w:lang w:eastAsia="en-US"/>
        </w:rPr>
        <w:t xml:space="preserve"> Real Decreto 1098/2001:</w:t>
      </w:r>
      <w:r w:rsidR="00BC691F">
        <w:rPr>
          <w:rFonts w:eastAsiaTheme="minorHAnsi"/>
          <w:b/>
          <w:bCs/>
          <w:i/>
          <w:shd w:val="clear" w:color="auto" w:fill="FFFFFF"/>
          <w:lang w:eastAsia="en-US"/>
        </w:rPr>
        <w:t xml:space="preserve"> </w:t>
      </w:r>
      <w:r w:rsidRPr="00DB5BE1">
        <w:rPr>
          <w:rFonts w:eastAsiaTheme="minorHAnsi"/>
          <w:b/>
          <w:bCs/>
          <w:i/>
          <w:shd w:val="clear" w:color="auto" w:fill="FFFFFF"/>
          <w:lang w:eastAsia="en-US"/>
        </w:rPr>
        <w:t>“Contenido</w:t>
      </w:r>
      <w:r w:rsidRPr="00DB5BE1">
        <w:rPr>
          <w:rFonts w:eastAsiaTheme="minorHAnsi"/>
          <w:bCs/>
          <w:i/>
          <w:shd w:val="clear" w:color="auto" w:fill="FFFFFF"/>
          <w:lang w:eastAsia="en-US"/>
        </w:rPr>
        <w:t xml:space="preserve"> del pliego de prescripciones técnicas particulares.</w:t>
      </w:r>
    </w:p>
    <w:p w:rsidR="00DB5BE1" w:rsidRPr="00DB5BE1" w:rsidRDefault="00DB5BE1" w:rsidP="00DB5BE1">
      <w:pPr>
        <w:spacing w:after="0"/>
        <w:rPr>
          <w:rFonts w:eastAsiaTheme="minorHAnsi"/>
          <w:bCs/>
          <w:i/>
          <w:shd w:val="clear" w:color="auto" w:fill="FFFFFF"/>
          <w:lang w:eastAsia="en-US"/>
        </w:rPr>
      </w:pPr>
    </w:p>
    <w:p w:rsidR="00DB5BE1" w:rsidRDefault="00DB5BE1" w:rsidP="00DB5BE1">
      <w:pPr>
        <w:spacing w:after="0"/>
        <w:rPr>
          <w:rFonts w:eastAsiaTheme="minorHAnsi"/>
          <w:i/>
          <w:shd w:val="clear" w:color="auto" w:fill="FFFFFF"/>
          <w:lang w:eastAsia="en-US"/>
        </w:rPr>
      </w:pPr>
      <w:r w:rsidRPr="00DB5BE1">
        <w:rPr>
          <w:rFonts w:eastAsiaTheme="minorHAnsi"/>
          <w:i/>
          <w:shd w:val="clear" w:color="auto" w:fill="FFFFFF"/>
          <w:lang w:eastAsia="en-US"/>
        </w:rPr>
        <w:t xml:space="preserve">1. El pliego de prescripciones técnicas particulares contendrá, </w:t>
      </w:r>
      <w:r w:rsidRPr="00DB5BE1">
        <w:rPr>
          <w:rFonts w:eastAsiaTheme="minorHAnsi"/>
          <w:b/>
          <w:i/>
          <w:shd w:val="clear" w:color="auto" w:fill="FFFFFF"/>
          <w:lang w:eastAsia="en-US"/>
        </w:rPr>
        <w:t>al menos</w:t>
      </w:r>
      <w:r w:rsidRPr="00DB5BE1">
        <w:rPr>
          <w:rFonts w:eastAsiaTheme="minorHAnsi"/>
          <w:i/>
          <w:shd w:val="clear" w:color="auto" w:fill="FFFFFF"/>
          <w:lang w:eastAsia="en-US"/>
        </w:rPr>
        <w:t>, los siguientes extremos:</w:t>
      </w:r>
    </w:p>
    <w:p w:rsidR="00BC691F" w:rsidRPr="00DB5BE1" w:rsidRDefault="00BC691F" w:rsidP="00DB5BE1">
      <w:pPr>
        <w:spacing w:after="0"/>
        <w:rPr>
          <w:rFonts w:eastAsiaTheme="minorHAnsi"/>
          <w:i/>
          <w:shd w:val="clear" w:color="auto" w:fill="FFFFFF"/>
          <w:lang w:eastAsia="en-US"/>
        </w:rPr>
      </w:pPr>
    </w:p>
    <w:p w:rsidR="00DB5BE1" w:rsidRPr="00DB5BE1" w:rsidRDefault="00DB5BE1" w:rsidP="00DB5BE1">
      <w:pPr>
        <w:spacing w:after="0"/>
        <w:rPr>
          <w:rFonts w:eastAsiaTheme="minorHAnsi"/>
          <w:b/>
          <w:i/>
          <w:shd w:val="clear" w:color="auto" w:fill="FFFFFF"/>
          <w:lang w:eastAsia="en-US"/>
        </w:rPr>
      </w:pPr>
      <w:r w:rsidRPr="00DB5BE1">
        <w:rPr>
          <w:rFonts w:eastAsiaTheme="minorHAnsi"/>
          <w:i/>
          <w:shd w:val="clear" w:color="auto" w:fill="FFFFFF"/>
          <w:lang w:eastAsia="en-US"/>
        </w:rPr>
        <w:t>a</w:t>
      </w:r>
      <w:r w:rsidRPr="00DB5BE1">
        <w:rPr>
          <w:rFonts w:eastAsiaTheme="minorHAnsi"/>
          <w:b/>
          <w:i/>
          <w:shd w:val="clear" w:color="auto" w:fill="FFFFFF"/>
          <w:lang w:eastAsia="en-US"/>
        </w:rPr>
        <w:t>) Características técnicas que hayan de reunir los bienes o prestaciones del contrato.</w:t>
      </w:r>
    </w:p>
    <w:p w:rsidR="00DB5BE1" w:rsidRPr="00DB5BE1" w:rsidRDefault="00DB5BE1" w:rsidP="00DB5BE1">
      <w:pPr>
        <w:spacing w:after="0"/>
        <w:rPr>
          <w:rFonts w:eastAsiaTheme="minorHAnsi"/>
          <w:b/>
          <w:i/>
          <w:shd w:val="clear" w:color="auto" w:fill="FFFFFF"/>
          <w:lang w:eastAsia="en-US"/>
        </w:rPr>
      </w:pPr>
      <w:r w:rsidRPr="00DB5BE1">
        <w:rPr>
          <w:rFonts w:eastAsiaTheme="minorHAnsi"/>
          <w:b/>
          <w:i/>
          <w:shd w:val="clear" w:color="auto" w:fill="FFFFFF"/>
          <w:lang w:eastAsia="en-US"/>
        </w:rPr>
        <w:t>b) Precio de cada una de las unidades en que se descompone el presupuesto y número estimado de las unidades a suministrar.</w:t>
      </w:r>
    </w:p>
    <w:p w:rsidR="00DB5BE1" w:rsidRPr="00DB5BE1" w:rsidRDefault="00DB5BE1" w:rsidP="00DB5BE1">
      <w:pPr>
        <w:spacing w:after="0"/>
        <w:rPr>
          <w:rFonts w:eastAsiaTheme="minorHAnsi"/>
          <w:b/>
          <w:shd w:val="clear" w:color="auto" w:fill="FFFFFF"/>
          <w:lang w:eastAsia="en-US"/>
        </w:rPr>
      </w:pPr>
      <w:r w:rsidRPr="00DB5BE1">
        <w:rPr>
          <w:rFonts w:eastAsiaTheme="minorHAnsi"/>
          <w:b/>
          <w:i/>
          <w:shd w:val="clear" w:color="auto" w:fill="FFFFFF"/>
          <w:lang w:eastAsia="en-US"/>
        </w:rPr>
        <w:t>c) En su caso, requisitos, modalidades y características técnicas de las variantes</w:t>
      </w:r>
      <w:r w:rsidRPr="00DB5BE1">
        <w:rPr>
          <w:rFonts w:eastAsiaTheme="minorHAnsi"/>
          <w:b/>
          <w:shd w:val="clear" w:color="auto" w:fill="FFFFFF"/>
          <w:lang w:eastAsia="en-US"/>
        </w:rPr>
        <w:t>.”</w:t>
      </w:r>
    </w:p>
    <w:p w:rsidR="00DB5BE1" w:rsidRPr="00DB5BE1" w:rsidRDefault="00DB5BE1" w:rsidP="00DB5BE1">
      <w:pPr>
        <w:spacing w:after="0"/>
        <w:rPr>
          <w:rFonts w:eastAsiaTheme="minorHAnsi"/>
          <w:b/>
          <w:shd w:val="clear" w:color="auto" w:fill="FFFFFF"/>
          <w:lang w:eastAsia="en-US"/>
        </w:rPr>
      </w:pPr>
    </w:p>
    <w:p w:rsidR="00DB5BE1" w:rsidRPr="00DB5BE1" w:rsidRDefault="00DB5BE1" w:rsidP="00DB5BE1">
      <w:pPr>
        <w:spacing w:after="0"/>
        <w:rPr>
          <w:rFonts w:eastAsiaTheme="minorHAnsi"/>
          <w:shd w:val="clear" w:color="auto" w:fill="FFFFFF"/>
          <w:lang w:eastAsia="en-US"/>
        </w:rPr>
      </w:pPr>
    </w:p>
    <w:p w:rsidR="00F34609" w:rsidRPr="00BC691F" w:rsidRDefault="00F34609" w:rsidP="00F34609">
      <w:r w:rsidRPr="00F34609">
        <w:rPr>
          <w:b/>
        </w:rPr>
        <w:t>El art 126 LCSP, recoge las reglas para su establecimiento</w:t>
      </w:r>
      <w:r>
        <w:rPr>
          <w:b/>
        </w:rPr>
        <w:t>,</w:t>
      </w:r>
      <w:r w:rsidRPr="00F34609">
        <w:rPr>
          <w:b/>
        </w:rPr>
        <w:t xml:space="preserve"> </w:t>
      </w:r>
      <w:r w:rsidRPr="00BC691F">
        <w:t xml:space="preserve">con un contenido equivalente al del derogado art.117 del Real Decreto legislativo 3/2011, de 14 de noviembre, por el que se aprueba el texto refundido de la </w:t>
      </w:r>
      <w:r w:rsidR="00DB5BE1" w:rsidRPr="00BC691F">
        <w:t>L</w:t>
      </w:r>
      <w:r w:rsidRPr="00BC691F">
        <w:t>ey de Contratos del Sector Público.</w:t>
      </w:r>
    </w:p>
    <w:p w:rsidR="00BC691F" w:rsidRDefault="00BC691F" w:rsidP="00F34609"/>
    <w:p w:rsidR="00F34609" w:rsidRPr="00651A95" w:rsidRDefault="00F34609" w:rsidP="00F34609">
      <w:pPr>
        <w:rPr>
          <w:rFonts w:eastAsia="Times New Roman"/>
          <w:i/>
          <w:color w:val="000000"/>
          <w:sz w:val="21"/>
          <w:szCs w:val="21"/>
        </w:rPr>
      </w:pPr>
      <w:r w:rsidRPr="00DB5BE1">
        <w:rPr>
          <w:b/>
          <w:i/>
        </w:rPr>
        <w:t>ART 126 LCSP</w:t>
      </w:r>
      <w:r w:rsidRPr="00651A95">
        <w:rPr>
          <w:i/>
        </w:rPr>
        <w:t xml:space="preserve">. </w:t>
      </w:r>
      <w:r w:rsidRPr="00BC691F">
        <w:rPr>
          <w:rFonts w:eastAsia="Times New Roman"/>
          <w:b/>
          <w:i/>
          <w:iCs/>
          <w:color w:val="000000"/>
          <w:sz w:val="21"/>
          <w:szCs w:val="21"/>
        </w:rPr>
        <w:t>Reglas para el establecimiento de prescripciones técnicas</w:t>
      </w:r>
      <w:r w:rsidR="00DB5BE1" w:rsidRPr="00BC691F">
        <w:rPr>
          <w:rFonts w:eastAsia="Times New Roman"/>
          <w:b/>
          <w:i/>
          <w:iCs/>
          <w:color w:val="000000"/>
          <w:sz w:val="21"/>
          <w:szCs w:val="21"/>
        </w:rPr>
        <w:t>.</w:t>
      </w:r>
    </w:p>
    <w:p w:rsidR="00F34609" w:rsidRPr="00DB5BE1" w:rsidRDefault="00DB5BE1" w:rsidP="00F34609">
      <w:pPr>
        <w:spacing w:before="120" w:after="0"/>
        <w:rPr>
          <w:rFonts w:eastAsia="Times New Roman"/>
          <w:i/>
          <w:color w:val="000000"/>
          <w:sz w:val="21"/>
          <w:szCs w:val="21"/>
        </w:rPr>
      </w:pPr>
      <w:r>
        <w:rPr>
          <w:rFonts w:ascii="FiraSans-SemiBold" w:eastAsia="Times New Roman" w:hAnsi="FiraSans-SemiBold"/>
          <w:b/>
          <w:bCs/>
          <w:i/>
          <w:color w:val="000000"/>
          <w:sz w:val="21"/>
          <w:szCs w:val="21"/>
        </w:rPr>
        <w:t>“</w:t>
      </w:r>
      <w:r w:rsidR="00F34609" w:rsidRPr="00F34609">
        <w:rPr>
          <w:rFonts w:ascii="FiraSans-SemiBold" w:eastAsia="Times New Roman" w:hAnsi="FiraSans-SemiBold"/>
          <w:b/>
          <w:bCs/>
          <w:i/>
          <w:color w:val="000000"/>
          <w:sz w:val="21"/>
          <w:szCs w:val="21"/>
        </w:rPr>
        <w:t>1. </w:t>
      </w:r>
      <w:r w:rsidR="00F34609" w:rsidRPr="00DB5BE1">
        <w:rPr>
          <w:rFonts w:eastAsia="Times New Roman"/>
          <w:i/>
          <w:color w:val="000000"/>
          <w:sz w:val="21"/>
          <w:szCs w:val="21"/>
        </w:rPr>
        <w:t>Las prescripciones técnicas a que se refieren los artículos 123 y 124, proporcionarán a los empresarios acceso en condiciones de igualdad al procedimiento de contratación y no tendrán por efecto la creación de obstáculos injustificados a la apertura de la contratación pública a la competencia.</w:t>
      </w:r>
    </w:p>
    <w:p w:rsidR="00F34609" w:rsidRPr="00DB5BE1" w:rsidRDefault="00F34609" w:rsidP="00F34609">
      <w:pPr>
        <w:spacing w:before="120" w:after="0"/>
        <w:rPr>
          <w:rFonts w:eastAsia="Times New Roman"/>
          <w:i/>
          <w:color w:val="000000"/>
          <w:sz w:val="21"/>
          <w:szCs w:val="21"/>
        </w:rPr>
      </w:pPr>
      <w:r w:rsidRPr="00DB5BE1">
        <w:rPr>
          <w:rFonts w:ascii="FiraSans-SemiBold" w:eastAsia="Times New Roman" w:hAnsi="FiraSans-SemiBold"/>
          <w:b/>
          <w:bCs/>
          <w:i/>
          <w:color w:val="000000"/>
          <w:sz w:val="21"/>
          <w:szCs w:val="21"/>
        </w:rPr>
        <w:t>2. </w:t>
      </w:r>
      <w:r w:rsidRPr="00DB5BE1">
        <w:rPr>
          <w:rFonts w:eastAsia="Times New Roman"/>
          <w:i/>
          <w:color w:val="000000"/>
          <w:sz w:val="21"/>
          <w:szCs w:val="21"/>
        </w:rPr>
        <w:t xml:space="preserve">Las prescripciones técnicas </w:t>
      </w:r>
      <w:r w:rsidRPr="00AD70C9">
        <w:rPr>
          <w:rFonts w:eastAsia="Times New Roman"/>
          <w:b/>
          <w:i/>
          <w:color w:val="000000"/>
          <w:sz w:val="21"/>
          <w:szCs w:val="21"/>
        </w:rPr>
        <w:t>podrán referirse al proceso o método específico de producción o prestación de las obras, los suministros o los servicios requeridos</w:t>
      </w:r>
      <w:r w:rsidRPr="00DB5BE1">
        <w:rPr>
          <w:rFonts w:eastAsia="Times New Roman"/>
          <w:i/>
          <w:color w:val="000000"/>
          <w:sz w:val="21"/>
          <w:szCs w:val="21"/>
        </w:rPr>
        <w:t>, o a un proceso específico de otra fase de su ciclo de vida, según la definición establecida en el artículo 148, incluso cuando dichos factores no formen parte de la sustancia material de las obras, suministros o servicios, siempre que estén vinculados al objeto del contrato y guarden proporción con el valor y los objetivos de este.</w:t>
      </w:r>
    </w:p>
    <w:p w:rsidR="00B92EC1" w:rsidRDefault="00B92EC1" w:rsidP="00F34609">
      <w:pPr>
        <w:spacing w:before="120" w:after="0"/>
        <w:rPr>
          <w:rFonts w:ascii="FiraSans-SemiBold" w:eastAsia="Times New Roman" w:hAnsi="FiraSans-SemiBold"/>
          <w:b/>
          <w:bCs/>
          <w:i/>
          <w:color w:val="000000"/>
          <w:sz w:val="21"/>
          <w:szCs w:val="21"/>
        </w:rPr>
      </w:pPr>
    </w:p>
    <w:p w:rsidR="00B92EC1" w:rsidRDefault="00B92EC1" w:rsidP="00F34609">
      <w:pPr>
        <w:spacing w:before="120" w:after="0"/>
        <w:rPr>
          <w:rFonts w:ascii="FiraSans-SemiBold" w:eastAsia="Times New Roman" w:hAnsi="FiraSans-SemiBold"/>
          <w:b/>
          <w:bCs/>
          <w:i/>
          <w:color w:val="000000"/>
          <w:sz w:val="21"/>
          <w:szCs w:val="21"/>
        </w:rPr>
      </w:pPr>
    </w:p>
    <w:p w:rsidR="00B92EC1" w:rsidRDefault="00B92EC1" w:rsidP="00F34609">
      <w:pPr>
        <w:spacing w:before="120" w:after="0"/>
        <w:rPr>
          <w:rFonts w:ascii="FiraSans-SemiBold" w:eastAsia="Times New Roman" w:hAnsi="FiraSans-SemiBold"/>
          <w:b/>
          <w:bCs/>
          <w:i/>
          <w:color w:val="000000"/>
          <w:sz w:val="21"/>
          <w:szCs w:val="21"/>
        </w:rPr>
      </w:pPr>
    </w:p>
    <w:p w:rsidR="00F34609" w:rsidRPr="00B92EC1" w:rsidRDefault="00F34609" w:rsidP="00F34609">
      <w:pPr>
        <w:spacing w:before="120" w:after="0"/>
        <w:rPr>
          <w:rFonts w:eastAsia="Times New Roman"/>
          <w:i/>
          <w:color w:val="000000"/>
          <w:sz w:val="21"/>
          <w:szCs w:val="21"/>
        </w:rPr>
      </w:pPr>
      <w:r w:rsidRPr="00DB5BE1">
        <w:rPr>
          <w:rFonts w:ascii="FiraSans-SemiBold" w:eastAsia="Times New Roman" w:hAnsi="FiraSans-SemiBold"/>
          <w:b/>
          <w:bCs/>
          <w:i/>
          <w:color w:val="000000"/>
          <w:sz w:val="21"/>
          <w:szCs w:val="21"/>
        </w:rPr>
        <w:t>3. </w:t>
      </w:r>
      <w:r w:rsidRPr="00DB5BE1">
        <w:rPr>
          <w:rFonts w:eastAsia="Times New Roman"/>
          <w:i/>
          <w:color w:val="000000"/>
          <w:sz w:val="21"/>
          <w:szCs w:val="21"/>
        </w:rPr>
        <w:t xml:space="preserve">Para toda contratación que esté destinada a ser utilizada por personas físicas, ya sea el público en general o el personal de la Administración Pública contratante, las prescripciones técnicas se redactarán, salvo en casos debidamente justificados, de manera que </w:t>
      </w:r>
      <w:r w:rsidRPr="00AD70C9">
        <w:rPr>
          <w:rFonts w:eastAsia="Times New Roman"/>
          <w:b/>
          <w:i/>
          <w:color w:val="000000"/>
          <w:sz w:val="21"/>
          <w:szCs w:val="21"/>
        </w:rPr>
        <w:t xml:space="preserve">se tengan en cuenta la Convención de las Naciones Unidas sobre los derechos de las personas con discapacidad, así como los criterios de accesibilidad universal y de diseño universal </w:t>
      </w:r>
      <w:r w:rsidRPr="00DB5BE1">
        <w:rPr>
          <w:rFonts w:eastAsia="Times New Roman"/>
          <w:i/>
          <w:color w:val="000000"/>
          <w:sz w:val="21"/>
          <w:szCs w:val="21"/>
        </w:rPr>
        <w:t xml:space="preserve">o diseño para todas las personas, tal y como son definidos estos términos en </w:t>
      </w:r>
      <w:r w:rsidRPr="00DB5BE1">
        <w:rPr>
          <w:rFonts w:eastAsia="Times New Roman"/>
          <w:i/>
          <w:sz w:val="21"/>
          <w:szCs w:val="21"/>
        </w:rPr>
        <w:t>el </w:t>
      </w:r>
      <w:hyperlink r:id="rId8" w:tooltip="enlace" w:history="1">
        <w:r w:rsidRPr="00DB5BE1">
          <w:rPr>
            <w:rFonts w:eastAsia="Times New Roman"/>
            <w:i/>
            <w:sz w:val="21"/>
            <w:szCs w:val="21"/>
            <w:u w:val="single"/>
          </w:rPr>
          <w:t>texto refundido de la Ley General de derechos de las personas con discapacidad y de su inclusión social, aprobado mediante Real Decreto Legislativo 1/2013, de 29 de noviembre</w:t>
        </w:r>
      </w:hyperlink>
      <w:r w:rsidRPr="00F34609">
        <w:rPr>
          <w:rFonts w:eastAsia="Times New Roman"/>
          <w:i/>
          <w:sz w:val="21"/>
          <w:szCs w:val="21"/>
        </w:rPr>
        <w:t>.</w:t>
      </w:r>
    </w:p>
    <w:p w:rsidR="00F34609" w:rsidRPr="00AD70C9" w:rsidRDefault="00F34609" w:rsidP="00F34609">
      <w:pPr>
        <w:spacing w:before="120" w:after="0"/>
        <w:rPr>
          <w:rFonts w:eastAsia="Times New Roman"/>
          <w:b/>
          <w:i/>
          <w:color w:val="000000"/>
          <w:sz w:val="21"/>
          <w:szCs w:val="21"/>
        </w:rPr>
      </w:pPr>
      <w:r w:rsidRPr="00AD70C9">
        <w:rPr>
          <w:rFonts w:eastAsia="Times New Roman"/>
          <w:b/>
          <w:i/>
          <w:sz w:val="21"/>
          <w:szCs w:val="21"/>
        </w:rPr>
        <w:t>De no ser posible definir</w:t>
      </w:r>
      <w:r w:rsidRPr="00F34609">
        <w:rPr>
          <w:rFonts w:eastAsia="Times New Roman"/>
          <w:i/>
          <w:sz w:val="21"/>
          <w:szCs w:val="21"/>
        </w:rPr>
        <w:t xml:space="preserve"> las prescripciones técnicas teniendo en cuenta </w:t>
      </w:r>
      <w:r w:rsidRPr="00F34609">
        <w:rPr>
          <w:rFonts w:eastAsia="Times New Roman"/>
          <w:i/>
          <w:color w:val="000000"/>
          <w:sz w:val="21"/>
          <w:szCs w:val="21"/>
        </w:rPr>
        <w:t>criterios de accesibilidad universal y de diseño universal o diseño para todas las personas</w:t>
      </w:r>
      <w:r w:rsidRPr="00AD70C9">
        <w:rPr>
          <w:rFonts w:eastAsia="Times New Roman"/>
          <w:b/>
          <w:i/>
          <w:color w:val="000000"/>
          <w:sz w:val="21"/>
          <w:szCs w:val="21"/>
        </w:rPr>
        <w:t>, deberá motivarse suficientemente esta circunstancia.</w:t>
      </w:r>
    </w:p>
    <w:p w:rsidR="00F34609" w:rsidRDefault="00F34609" w:rsidP="00F34609">
      <w:pPr>
        <w:spacing w:before="120" w:after="0"/>
        <w:rPr>
          <w:rFonts w:eastAsia="Times New Roman"/>
          <w:i/>
          <w:color w:val="000000"/>
          <w:sz w:val="21"/>
          <w:szCs w:val="21"/>
        </w:rPr>
      </w:pPr>
      <w:r w:rsidRPr="00F34609">
        <w:rPr>
          <w:rFonts w:eastAsia="Times New Roman"/>
          <w:i/>
          <w:color w:val="000000"/>
          <w:sz w:val="21"/>
          <w:szCs w:val="21"/>
        </w:rPr>
        <w:t>Sin perjuicio de lo anterior, siempre que existan requisitos de accesibilidad obligatorios adoptados por un acto jurídico de la Unión Europea, las especificaciones técnicas deberán ser definidas por referencia a esas normas en lo que respecta a los criterios de accesibilidad para las personas con discapacidad o el diseño para todos los usuarios.</w:t>
      </w:r>
    </w:p>
    <w:p w:rsidR="00B21D5D" w:rsidRPr="00F34609" w:rsidRDefault="00B21D5D" w:rsidP="00F34609">
      <w:pPr>
        <w:spacing w:before="120" w:after="0"/>
        <w:rPr>
          <w:rFonts w:eastAsia="Times New Roman"/>
          <w:i/>
          <w:color w:val="000000"/>
          <w:sz w:val="21"/>
          <w:szCs w:val="21"/>
        </w:rPr>
      </w:pPr>
    </w:p>
    <w:p w:rsidR="00F34609" w:rsidRDefault="00F34609" w:rsidP="00F34609">
      <w:pPr>
        <w:spacing w:before="120" w:after="0"/>
        <w:rPr>
          <w:rFonts w:eastAsia="Times New Roman"/>
          <w:i/>
          <w:sz w:val="21"/>
          <w:szCs w:val="21"/>
        </w:rPr>
      </w:pPr>
      <w:r w:rsidRPr="00F34609">
        <w:rPr>
          <w:rFonts w:ascii="FiraSans-SemiBold" w:eastAsia="Times New Roman" w:hAnsi="FiraSans-SemiBold"/>
          <w:b/>
          <w:bCs/>
          <w:i/>
          <w:color w:val="000000"/>
          <w:sz w:val="21"/>
          <w:szCs w:val="21"/>
        </w:rPr>
        <w:t>4. </w:t>
      </w:r>
      <w:r w:rsidRPr="00F34609">
        <w:rPr>
          <w:rFonts w:eastAsia="Times New Roman"/>
          <w:i/>
          <w:color w:val="000000"/>
          <w:sz w:val="21"/>
          <w:szCs w:val="21"/>
        </w:rPr>
        <w:t xml:space="preserve">Siempre que el </w:t>
      </w:r>
      <w:r w:rsidRPr="00AD70C9">
        <w:rPr>
          <w:rFonts w:eastAsia="Times New Roman"/>
          <w:b/>
          <w:i/>
          <w:color w:val="000000"/>
          <w:sz w:val="21"/>
          <w:szCs w:val="21"/>
        </w:rPr>
        <w:t>objeto del contrato afecte o pueda afectar al medio ambiente</w:t>
      </w:r>
      <w:r w:rsidRPr="00F34609">
        <w:rPr>
          <w:rFonts w:eastAsia="Times New Roman"/>
          <w:i/>
          <w:color w:val="000000"/>
          <w:sz w:val="21"/>
          <w:szCs w:val="21"/>
        </w:rPr>
        <w:t xml:space="preserve">, las prescripciones técnicas se definirán aplicando </w:t>
      </w:r>
      <w:r w:rsidRPr="00AD70C9">
        <w:rPr>
          <w:rFonts w:eastAsia="Times New Roman"/>
          <w:b/>
          <w:i/>
          <w:color w:val="000000"/>
          <w:sz w:val="21"/>
          <w:szCs w:val="21"/>
        </w:rPr>
        <w:t>criterios de sostenibilidad y protección ambiental, de acuerdo con las definiciones y principios regulados</w:t>
      </w:r>
      <w:r w:rsidRPr="00F34609">
        <w:rPr>
          <w:rFonts w:eastAsia="Times New Roman"/>
          <w:i/>
          <w:color w:val="000000"/>
          <w:sz w:val="21"/>
          <w:szCs w:val="21"/>
        </w:rPr>
        <w:t xml:space="preserve"> en los </w:t>
      </w:r>
      <w:hyperlink r:id="rId9" w:anchor="I991')" w:tooltip="enlace" w:history="1">
        <w:r w:rsidRPr="00F34609">
          <w:rPr>
            <w:rFonts w:eastAsia="Times New Roman"/>
            <w:i/>
            <w:sz w:val="21"/>
            <w:szCs w:val="21"/>
            <w:u w:val="single"/>
          </w:rPr>
          <w:t>artículos 3</w:t>
        </w:r>
      </w:hyperlink>
      <w:r w:rsidRPr="00F34609">
        <w:rPr>
          <w:rFonts w:eastAsia="Times New Roman"/>
          <w:i/>
          <w:sz w:val="21"/>
          <w:szCs w:val="21"/>
        </w:rPr>
        <w:t> y </w:t>
      </w:r>
      <w:hyperlink r:id="rId10" w:anchor="I187')" w:tooltip="enlace" w:history="1">
        <w:r w:rsidRPr="00F34609">
          <w:rPr>
            <w:rFonts w:eastAsia="Times New Roman"/>
            <w:i/>
            <w:sz w:val="21"/>
            <w:szCs w:val="21"/>
            <w:u w:val="single"/>
          </w:rPr>
          <w:t>4, respectivamente, de la Ley 16/2002, de 1 de julio, de Prevención y Control Integrados de la Contaminación</w:t>
        </w:r>
      </w:hyperlink>
      <w:r w:rsidRPr="00F34609">
        <w:rPr>
          <w:rFonts w:eastAsia="Times New Roman"/>
          <w:i/>
          <w:sz w:val="21"/>
          <w:szCs w:val="21"/>
        </w:rPr>
        <w:t>.</w:t>
      </w:r>
    </w:p>
    <w:p w:rsidR="00DB5BE1" w:rsidRPr="00F34609" w:rsidRDefault="00DB5BE1" w:rsidP="00F34609">
      <w:pPr>
        <w:spacing w:before="120" w:after="0"/>
        <w:rPr>
          <w:rFonts w:eastAsia="Times New Roman"/>
          <w:i/>
          <w:sz w:val="21"/>
          <w:szCs w:val="21"/>
        </w:rPr>
      </w:pPr>
    </w:p>
    <w:p w:rsidR="00F34609" w:rsidRDefault="00F34609" w:rsidP="00651A95">
      <w:pPr>
        <w:spacing w:before="120" w:after="0"/>
        <w:rPr>
          <w:rFonts w:eastAsia="Times New Roman"/>
          <w:i/>
          <w:color w:val="000000"/>
          <w:sz w:val="21"/>
          <w:szCs w:val="21"/>
        </w:rPr>
      </w:pPr>
      <w:r w:rsidRPr="00F34609">
        <w:rPr>
          <w:rFonts w:ascii="FiraSans-SemiBold" w:eastAsia="Times New Roman" w:hAnsi="FiraSans-SemiBold"/>
          <w:b/>
          <w:bCs/>
          <w:i/>
          <w:color w:val="000000"/>
          <w:sz w:val="21"/>
          <w:szCs w:val="21"/>
        </w:rPr>
        <w:t>5. </w:t>
      </w:r>
      <w:r w:rsidRPr="00F34609">
        <w:rPr>
          <w:rFonts w:eastAsia="Times New Roman"/>
          <w:i/>
          <w:color w:val="000000"/>
          <w:sz w:val="21"/>
          <w:szCs w:val="21"/>
        </w:rPr>
        <w:t xml:space="preserve">Sin perjuicio de las </w:t>
      </w:r>
      <w:r w:rsidRPr="00AD70C9">
        <w:rPr>
          <w:rFonts w:eastAsia="Times New Roman"/>
          <w:b/>
          <w:i/>
          <w:color w:val="000000"/>
          <w:sz w:val="21"/>
          <w:szCs w:val="21"/>
        </w:rPr>
        <w:t>instrucciones y reglamentos técnicos nacionales que sean obligatorios</w:t>
      </w:r>
      <w:r w:rsidRPr="00F34609">
        <w:rPr>
          <w:rFonts w:eastAsia="Times New Roman"/>
          <w:i/>
          <w:color w:val="000000"/>
          <w:sz w:val="21"/>
          <w:szCs w:val="21"/>
        </w:rPr>
        <w:t xml:space="preserve">, siempre y cuando sean compatibles con el derecho de la Unión Europea, las prescripciones técnicas </w:t>
      </w:r>
      <w:r w:rsidRPr="00AD70C9">
        <w:rPr>
          <w:rFonts w:eastAsia="Times New Roman"/>
          <w:b/>
          <w:i/>
          <w:color w:val="000000"/>
          <w:sz w:val="21"/>
          <w:szCs w:val="21"/>
        </w:rPr>
        <w:t>se formularán de una de las siguientes maneras</w:t>
      </w:r>
      <w:r w:rsidRPr="00F34609">
        <w:rPr>
          <w:rFonts w:eastAsia="Times New Roman"/>
          <w:i/>
          <w:color w:val="000000"/>
          <w:sz w:val="21"/>
          <w:szCs w:val="21"/>
        </w:rPr>
        <w:t>:</w:t>
      </w:r>
    </w:p>
    <w:p w:rsidR="00651A95" w:rsidRPr="00F34609" w:rsidRDefault="00651A95" w:rsidP="00651A95">
      <w:pPr>
        <w:spacing w:before="120" w:after="0"/>
        <w:rPr>
          <w:rFonts w:eastAsia="Times New Roman"/>
          <w:i/>
          <w:color w:val="000000"/>
          <w:sz w:val="21"/>
          <w:szCs w:val="21"/>
        </w:rPr>
      </w:pPr>
    </w:p>
    <w:p w:rsidR="00F34609" w:rsidRPr="00F34609" w:rsidRDefault="00F34609" w:rsidP="00F34609">
      <w:pPr>
        <w:spacing w:after="100" w:afterAutospacing="1"/>
        <w:rPr>
          <w:rFonts w:eastAsia="Times New Roman"/>
          <w:i/>
          <w:color w:val="000000"/>
          <w:sz w:val="21"/>
          <w:szCs w:val="21"/>
        </w:rPr>
      </w:pPr>
      <w:r w:rsidRPr="00F34609">
        <w:rPr>
          <w:rFonts w:ascii="FiraSans-SemiBold" w:eastAsia="Times New Roman" w:hAnsi="FiraSans-SemiBold"/>
          <w:b/>
          <w:bCs/>
          <w:i/>
          <w:color w:val="000000"/>
          <w:sz w:val="21"/>
          <w:szCs w:val="21"/>
        </w:rPr>
        <w:t>a) </w:t>
      </w:r>
      <w:r w:rsidRPr="00AD70C9">
        <w:rPr>
          <w:rFonts w:eastAsia="Times New Roman"/>
          <w:b/>
          <w:i/>
          <w:color w:val="000000"/>
          <w:sz w:val="21"/>
          <w:szCs w:val="21"/>
        </w:rPr>
        <w:t>En términos de rendimiento o de exigencias funcionales</w:t>
      </w:r>
      <w:r w:rsidRPr="00F34609">
        <w:rPr>
          <w:rFonts w:eastAsia="Times New Roman"/>
          <w:i/>
          <w:color w:val="000000"/>
          <w:sz w:val="21"/>
          <w:szCs w:val="21"/>
        </w:rPr>
        <w:t>, incluidas las características medioambientales, siempre que los parámetros sean lo suficientemente precisos para permitir a los licitadores determinar el objeto del contrato y al órgano de contratación adjudicar el mismo;</w:t>
      </w:r>
    </w:p>
    <w:p w:rsidR="00F34609" w:rsidRPr="00F34609" w:rsidRDefault="00F34609" w:rsidP="00F34609">
      <w:pPr>
        <w:spacing w:before="120" w:after="100" w:afterAutospacing="1"/>
        <w:rPr>
          <w:rFonts w:eastAsia="Times New Roman"/>
          <w:i/>
          <w:color w:val="000000"/>
          <w:sz w:val="21"/>
          <w:szCs w:val="21"/>
        </w:rPr>
      </w:pPr>
      <w:r w:rsidRPr="00F34609">
        <w:rPr>
          <w:rFonts w:ascii="FiraSans-SemiBold" w:eastAsia="Times New Roman" w:hAnsi="FiraSans-SemiBold"/>
          <w:b/>
          <w:bCs/>
          <w:i/>
          <w:color w:val="000000"/>
          <w:sz w:val="21"/>
          <w:szCs w:val="21"/>
        </w:rPr>
        <w:t>b) </w:t>
      </w:r>
      <w:r w:rsidRPr="00AD70C9">
        <w:rPr>
          <w:rFonts w:eastAsia="Times New Roman"/>
          <w:b/>
          <w:i/>
          <w:color w:val="000000"/>
          <w:sz w:val="21"/>
          <w:szCs w:val="21"/>
        </w:rPr>
        <w:t>Haciendo referencia, de acuerdo con el siguiente orden de prelación</w:t>
      </w:r>
      <w:r w:rsidRPr="00F34609">
        <w:rPr>
          <w:rFonts w:eastAsia="Times New Roman"/>
          <w:i/>
          <w:color w:val="000000"/>
          <w:sz w:val="21"/>
          <w:szCs w:val="21"/>
        </w:rPr>
        <w:t>, a especificaciones técnicas contenidas en normas nacionales que incorporen normas europeas, a evaluaciones técnicas europeas, a especificaciones técnicas comunes, a normas internacionales, a otros sistemas de referencias técnicas elaborados por los organismos europeos de normalización o, en defecto de todos los anteriores, a normas nacionales, a documentos de idoneidad técnica nacionales o a especificaciones técnicas nacionales en materia de proyecto, cálculo y ejecución de obras y de uso de suministros; acompañando cada referencia de la mención «o equivalente»;</w:t>
      </w:r>
    </w:p>
    <w:p w:rsidR="00F34609" w:rsidRPr="00F34609" w:rsidRDefault="00F34609" w:rsidP="00F34609">
      <w:pPr>
        <w:spacing w:before="120" w:after="100" w:afterAutospacing="1"/>
        <w:rPr>
          <w:rFonts w:eastAsia="Times New Roman"/>
          <w:i/>
          <w:color w:val="000000"/>
          <w:sz w:val="21"/>
          <w:szCs w:val="21"/>
        </w:rPr>
      </w:pPr>
      <w:r w:rsidRPr="00F34609">
        <w:rPr>
          <w:rFonts w:ascii="FiraSans-SemiBold" w:eastAsia="Times New Roman" w:hAnsi="FiraSans-SemiBold"/>
          <w:b/>
          <w:bCs/>
          <w:i/>
          <w:color w:val="000000"/>
          <w:sz w:val="21"/>
          <w:szCs w:val="21"/>
        </w:rPr>
        <w:t>c) </w:t>
      </w:r>
      <w:r w:rsidRPr="00AD70C9">
        <w:rPr>
          <w:rFonts w:eastAsia="Times New Roman"/>
          <w:b/>
          <w:i/>
          <w:color w:val="000000"/>
          <w:sz w:val="21"/>
          <w:szCs w:val="21"/>
        </w:rPr>
        <w:t>En términos de rendimiento o de exigencias funcionales</w:t>
      </w:r>
      <w:r w:rsidRPr="00F34609">
        <w:rPr>
          <w:rFonts w:eastAsia="Times New Roman"/>
          <w:i/>
          <w:color w:val="000000"/>
          <w:sz w:val="21"/>
          <w:szCs w:val="21"/>
        </w:rPr>
        <w:t xml:space="preserve"> según lo mencionado en la letra a), haciendo referencia, como medio de presunción de conformidad con estos requisitos de rendimiento o exigencias funcionales, a las especificaciones contempladas en la letra b);</w:t>
      </w:r>
    </w:p>
    <w:p w:rsidR="00F34609" w:rsidRPr="00F34609" w:rsidRDefault="00F34609" w:rsidP="00F34609">
      <w:pPr>
        <w:spacing w:before="120" w:after="100" w:afterAutospacing="1"/>
        <w:rPr>
          <w:rFonts w:eastAsia="Times New Roman"/>
          <w:i/>
          <w:color w:val="000000"/>
          <w:sz w:val="21"/>
          <w:szCs w:val="21"/>
        </w:rPr>
      </w:pPr>
      <w:r w:rsidRPr="00F34609">
        <w:rPr>
          <w:rFonts w:ascii="FiraSans-SemiBold" w:eastAsia="Times New Roman" w:hAnsi="FiraSans-SemiBold"/>
          <w:b/>
          <w:bCs/>
          <w:i/>
          <w:color w:val="000000"/>
          <w:sz w:val="21"/>
          <w:szCs w:val="21"/>
        </w:rPr>
        <w:t>d) </w:t>
      </w:r>
      <w:r w:rsidRPr="00AD70C9">
        <w:rPr>
          <w:rFonts w:eastAsia="Times New Roman"/>
          <w:b/>
          <w:i/>
          <w:color w:val="000000"/>
          <w:sz w:val="21"/>
          <w:szCs w:val="21"/>
        </w:rPr>
        <w:t>Haciendo referencia a especificaciones técnicas mencionadas en la letra b</w:t>
      </w:r>
      <w:r w:rsidRPr="00F34609">
        <w:rPr>
          <w:rFonts w:eastAsia="Times New Roman"/>
          <w:i/>
          <w:color w:val="000000"/>
          <w:sz w:val="21"/>
          <w:szCs w:val="21"/>
        </w:rPr>
        <w:t>) para determinadas características, y mediante referencia al rendimiento o exigencias funcionales mencionados en la letra a) para otras características.</w:t>
      </w:r>
    </w:p>
    <w:p w:rsidR="00F34609" w:rsidRPr="00F34609" w:rsidRDefault="00F34609" w:rsidP="00F34609">
      <w:pPr>
        <w:spacing w:before="120" w:after="0"/>
        <w:rPr>
          <w:rFonts w:eastAsia="Times New Roman"/>
          <w:i/>
          <w:color w:val="000000"/>
          <w:sz w:val="21"/>
          <w:szCs w:val="21"/>
        </w:rPr>
      </w:pPr>
      <w:r w:rsidRPr="00F34609">
        <w:rPr>
          <w:rFonts w:ascii="FiraSans-SemiBold" w:eastAsia="Times New Roman" w:hAnsi="FiraSans-SemiBold"/>
          <w:b/>
          <w:bCs/>
          <w:i/>
          <w:color w:val="000000"/>
          <w:sz w:val="21"/>
          <w:szCs w:val="21"/>
        </w:rPr>
        <w:t>6. </w:t>
      </w:r>
      <w:r w:rsidRPr="00F34609">
        <w:rPr>
          <w:rFonts w:eastAsia="Times New Roman"/>
          <w:i/>
          <w:color w:val="000000"/>
          <w:sz w:val="21"/>
          <w:szCs w:val="21"/>
        </w:rPr>
        <w:t>Salvo que lo justifique el objeto del contrato, las prescripciones técnicas no harán referencia a una fabricación o una procedencia determinada, o a un procedimiento concreto que caracterice a los productos o servicios ofrecidos por un empresario determinado, o a marcas, patentes o tipos, o a un origen o a una producción determinados, con la finalidad de favorecer o descartar ciertas empresas o ciertos productos. Tal referencia se autorizará, con carácter excepcional, en el caso en que no sea posible hacer una descripción lo bastante precisa e inteligible del objeto del contrato en aplicación del apartado 5, en cuyo caso irá acompañada de la mención «o equivalente».</w:t>
      </w:r>
    </w:p>
    <w:p w:rsidR="00AD70C9" w:rsidRDefault="00AD70C9" w:rsidP="00F34609">
      <w:pPr>
        <w:spacing w:before="120" w:after="0"/>
        <w:rPr>
          <w:rFonts w:ascii="FiraSans-SemiBold" w:eastAsia="Times New Roman" w:hAnsi="FiraSans-SemiBold"/>
          <w:b/>
          <w:bCs/>
          <w:i/>
          <w:color w:val="000000"/>
          <w:sz w:val="21"/>
          <w:szCs w:val="21"/>
        </w:rPr>
      </w:pPr>
    </w:p>
    <w:p w:rsidR="00F34609" w:rsidRDefault="00F34609" w:rsidP="00F34609">
      <w:pPr>
        <w:spacing w:before="120" w:after="0"/>
        <w:rPr>
          <w:rFonts w:eastAsia="Times New Roman"/>
          <w:i/>
          <w:color w:val="000000"/>
          <w:sz w:val="21"/>
          <w:szCs w:val="21"/>
        </w:rPr>
      </w:pPr>
      <w:r w:rsidRPr="00F34609">
        <w:rPr>
          <w:rFonts w:ascii="FiraSans-SemiBold" w:eastAsia="Times New Roman" w:hAnsi="FiraSans-SemiBold"/>
          <w:b/>
          <w:bCs/>
          <w:i/>
          <w:color w:val="000000"/>
          <w:sz w:val="21"/>
          <w:szCs w:val="21"/>
        </w:rPr>
        <w:t>7. </w:t>
      </w:r>
      <w:r w:rsidRPr="00AD70C9">
        <w:rPr>
          <w:rFonts w:eastAsia="Times New Roman"/>
          <w:b/>
          <w:i/>
          <w:color w:val="000000"/>
          <w:sz w:val="21"/>
          <w:szCs w:val="21"/>
        </w:rPr>
        <w:t>Cuando los órganos de contratación hagan uso de la opción prevista en el apartado 5, letra a),</w:t>
      </w:r>
      <w:r w:rsidRPr="00F34609">
        <w:rPr>
          <w:rFonts w:eastAsia="Times New Roman"/>
          <w:i/>
          <w:color w:val="000000"/>
          <w:sz w:val="21"/>
          <w:szCs w:val="21"/>
        </w:rPr>
        <w:t xml:space="preserve"> de formular prescripciones técnicas en términos de rendimiento o de exigencias funcionales, no podrán rechazar una oferta de obras, de suministros o de servicios que se ajusten a una norma nacional que transponga una norma europea, a un documento de idoneidad técnica europeo, a una especificación técnica común, a una norma internacional o a un sistema de referencias técnicas elaborado por un organismo europeo de normalización, si tales especificaciones tienen por objeto los requisitos de rendimiento o exigencias funcionales exigidos por las prescripciones técnicas, siempre que en su oferta, el licitador pruebe por cualquier medio adecuado, incluidos los medios de prueba mencionados en los artículos 127 y 128, que la obra, el suministro o el servicio conforme a la norma reúne los requisitos de rendimiento o exigencias funcionales establecidos por el órgano de contratación.</w:t>
      </w:r>
    </w:p>
    <w:p w:rsidR="00B92EC1" w:rsidRPr="00F34609" w:rsidRDefault="00B92EC1" w:rsidP="00F34609">
      <w:pPr>
        <w:spacing w:before="120" w:after="0"/>
        <w:rPr>
          <w:rFonts w:eastAsia="Times New Roman"/>
          <w:i/>
          <w:color w:val="000000"/>
          <w:sz w:val="21"/>
          <w:szCs w:val="21"/>
        </w:rPr>
      </w:pPr>
    </w:p>
    <w:p w:rsidR="00F34609" w:rsidRPr="00651A95" w:rsidRDefault="00F34609" w:rsidP="00F34609">
      <w:pPr>
        <w:spacing w:before="120" w:after="0"/>
        <w:rPr>
          <w:rFonts w:eastAsia="Times New Roman"/>
          <w:i/>
          <w:color w:val="000000"/>
          <w:sz w:val="21"/>
          <w:szCs w:val="21"/>
        </w:rPr>
      </w:pPr>
      <w:r w:rsidRPr="00F34609">
        <w:rPr>
          <w:rFonts w:ascii="FiraSans-SemiBold" w:eastAsia="Times New Roman" w:hAnsi="FiraSans-SemiBold"/>
          <w:b/>
          <w:bCs/>
          <w:i/>
          <w:color w:val="000000"/>
          <w:sz w:val="21"/>
          <w:szCs w:val="21"/>
        </w:rPr>
        <w:t>8. </w:t>
      </w:r>
      <w:r w:rsidRPr="00AD70C9">
        <w:rPr>
          <w:rFonts w:eastAsia="Times New Roman"/>
          <w:b/>
          <w:i/>
          <w:color w:val="000000"/>
          <w:sz w:val="21"/>
          <w:szCs w:val="21"/>
        </w:rPr>
        <w:t>Cuando los órganos de contratación hagan uso de la opción de referirse a las especificaciones técnicas previstas en el apartado 5, letra b</w:t>
      </w:r>
      <w:r w:rsidRPr="00F34609">
        <w:rPr>
          <w:rFonts w:eastAsia="Times New Roman"/>
          <w:i/>
          <w:color w:val="000000"/>
          <w:sz w:val="21"/>
          <w:szCs w:val="21"/>
        </w:rPr>
        <w:t>), no podrán rechazar una oferta basándose en que las obras, los suministros o los servicios ofrecidos no se ajustan a las especificaciones técnicas a las que han hecho referencia, siempre que en su oferta el licitador demuestre por cualquier medio adecuado, incluidos los medios de prueba mencionados en el artículo 128, que las soluciones que propone cumplen de forma equivalente los requisitos exigidos en las correspondientes prescripciones técnicas.</w:t>
      </w:r>
      <w:r w:rsidRPr="00651A95">
        <w:rPr>
          <w:rFonts w:eastAsia="Times New Roman"/>
          <w:i/>
          <w:color w:val="000000"/>
          <w:sz w:val="21"/>
          <w:szCs w:val="21"/>
        </w:rPr>
        <w:t>”</w:t>
      </w:r>
    </w:p>
    <w:p w:rsidR="00F34609" w:rsidRPr="00F34609" w:rsidRDefault="00F34609" w:rsidP="00F34609">
      <w:pPr>
        <w:spacing w:before="120" w:after="0"/>
        <w:rPr>
          <w:rFonts w:eastAsia="Times New Roman"/>
          <w:i/>
          <w:color w:val="000000"/>
          <w:sz w:val="21"/>
          <w:szCs w:val="21"/>
        </w:rPr>
      </w:pPr>
    </w:p>
    <w:p w:rsidR="00693D06" w:rsidRDefault="00693D06">
      <w:pPr>
        <w:rPr>
          <w:rFonts w:eastAsiaTheme="majorEastAsia" w:cstheme="majorBidi"/>
          <w:b/>
          <w:szCs w:val="32"/>
          <w:u w:val="single"/>
        </w:rPr>
      </w:pPr>
      <w:r>
        <w:rPr>
          <w:u w:val="single"/>
        </w:rPr>
        <w:lastRenderedPageBreak/>
        <w:br w:type="page"/>
      </w:r>
    </w:p>
    <w:p w:rsidR="00B21D5D" w:rsidRDefault="00B21D5D">
      <w:pPr>
        <w:pStyle w:val="Ttulo1"/>
        <w:rPr>
          <w:color w:val="auto"/>
          <w:u w:val="single"/>
        </w:rPr>
      </w:pPr>
      <w:bookmarkStart w:id="0" w:name="_GoBack"/>
      <w:bookmarkEnd w:id="0"/>
    </w:p>
    <w:p w:rsidR="00B92EC1" w:rsidRDefault="00B21D5D" w:rsidP="00B21D5D">
      <w:pPr>
        <w:pStyle w:val="Ttulo1"/>
        <w:rPr>
          <w:color w:val="auto"/>
          <w:u w:val="single"/>
        </w:rPr>
      </w:pPr>
      <w:r>
        <w:rPr>
          <w:color w:val="auto"/>
          <w:u w:val="single"/>
        </w:rPr>
        <w:t>MODELO TIPO ORI</w:t>
      </w:r>
      <w:r w:rsidR="0054146B">
        <w:rPr>
          <w:color w:val="auto"/>
          <w:u w:val="single"/>
        </w:rPr>
        <w:t>E</w:t>
      </w:r>
      <w:r>
        <w:rPr>
          <w:color w:val="auto"/>
          <w:u w:val="single"/>
        </w:rPr>
        <w:t>NTATIVO PARA EL</w:t>
      </w:r>
      <w:r w:rsidR="003D06F0">
        <w:rPr>
          <w:color w:val="auto"/>
          <w:u w:val="single"/>
        </w:rPr>
        <w:t>A</w:t>
      </w:r>
      <w:r>
        <w:rPr>
          <w:color w:val="auto"/>
          <w:u w:val="single"/>
        </w:rPr>
        <w:t>BORAR EL</w:t>
      </w:r>
      <w:r w:rsidR="008266A9">
        <w:rPr>
          <w:color w:val="auto"/>
          <w:u w:val="single"/>
        </w:rPr>
        <w:t xml:space="preserve"> </w:t>
      </w:r>
      <w:r>
        <w:rPr>
          <w:color w:val="auto"/>
          <w:u w:val="single"/>
        </w:rPr>
        <w:t>PLIEGO DE PRESCRIPCIONES TECNICAS. PPT</w:t>
      </w:r>
    </w:p>
    <w:p w:rsidR="00B21D5D" w:rsidRDefault="00B21D5D">
      <w:pPr>
        <w:pStyle w:val="Ttulo1"/>
        <w:rPr>
          <w:color w:val="auto"/>
          <w:u w:val="single"/>
        </w:rPr>
      </w:pPr>
    </w:p>
    <w:p w:rsidR="00043E21" w:rsidRPr="00AD70C9" w:rsidRDefault="00A60CD9">
      <w:pPr>
        <w:pStyle w:val="Ttulo1"/>
        <w:rPr>
          <w:color w:val="auto"/>
          <w:u w:val="single"/>
        </w:rPr>
      </w:pPr>
      <w:r w:rsidRPr="00AD70C9">
        <w:rPr>
          <w:color w:val="auto"/>
          <w:u w:val="single"/>
        </w:rPr>
        <w:t>ESQUEMA PPT.</w:t>
      </w:r>
      <w:r w:rsidR="00AD70C9">
        <w:rPr>
          <w:color w:val="auto"/>
          <w:u w:val="single"/>
        </w:rPr>
        <w:t xml:space="preserve"> CONTRATO DE</w:t>
      </w:r>
      <w:r w:rsidRPr="00AD70C9">
        <w:rPr>
          <w:color w:val="auto"/>
          <w:u w:val="single"/>
        </w:rPr>
        <w:t xml:space="preserve"> SUMINISTRO</w:t>
      </w:r>
    </w:p>
    <w:p w:rsidR="00043E21" w:rsidRPr="00AD70C9" w:rsidRDefault="00A60CD9">
      <w:pPr>
        <w:pStyle w:val="Ttulo1"/>
        <w:numPr>
          <w:ilvl w:val="0"/>
          <w:numId w:val="2"/>
        </w:numPr>
        <w:ind w:left="426"/>
        <w:rPr>
          <w:color w:val="auto"/>
        </w:rPr>
      </w:pPr>
      <w:r w:rsidRPr="00AD70C9">
        <w:rPr>
          <w:color w:val="auto"/>
        </w:rPr>
        <w:t>OBJETO DEL CONTRATO</w:t>
      </w:r>
    </w:p>
    <w:p w:rsidR="00043E21" w:rsidRDefault="00A60CD9">
      <w:r>
        <w:t>El objeto del contrato es la adquisición/prestación de suministro</w:t>
      </w:r>
      <w:r w:rsidR="00BC691F">
        <w:t xml:space="preserve"> </w:t>
      </w:r>
      <w:r>
        <w:t>de …</w:t>
      </w:r>
      <w:r w:rsidR="00BC691F">
        <w:t>……………………</w:t>
      </w:r>
    </w:p>
    <w:p w:rsidR="00043E21" w:rsidRPr="00AD70C9" w:rsidRDefault="00A60CD9">
      <w:pPr>
        <w:pStyle w:val="Ttulo1"/>
        <w:numPr>
          <w:ilvl w:val="0"/>
          <w:numId w:val="2"/>
        </w:numPr>
        <w:ind w:left="426"/>
        <w:rPr>
          <w:color w:val="auto"/>
        </w:rPr>
      </w:pPr>
      <w:r w:rsidRPr="00AD70C9">
        <w:rPr>
          <w:color w:val="auto"/>
        </w:rPr>
        <w:t>DIVISIÓN DEL CONTRATO EN LOTES</w:t>
      </w:r>
      <w:r w:rsidR="00BC691F">
        <w:rPr>
          <w:color w:val="auto"/>
        </w:rPr>
        <w:t>, EN SU CASO.</w:t>
      </w:r>
    </w:p>
    <w:p w:rsidR="003D06F0" w:rsidRDefault="00A60CD9" w:rsidP="007878AD">
      <w:pPr>
        <w:spacing w:after="0"/>
      </w:pPr>
      <w:r>
        <w:t>Enumeración de</w:t>
      </w:r>
      <w:r w:rsidR="00BC691F">
        <w:t xml:space="preserve"> cada uno de</w:t>
      </w:r>
      <w:r>
        <w:t xml:space="preserve"> los lotes</w:t>
      </w:r>
      <w:r w:rsidR="003D06F0">
        <w:t>.</w:t>
      </w:r>
    </w:p>
    <w:p w:rsidR="007878AD" w:rsidRDefault="007878AD" w:rsidP="007878AD">
      <w:pPr>
        <w:spacing w:after="0"/>
      </w:pPr>
      <w:r>
        <w:t>En el caso de que un lote tenga contenga unidades, (por ejemplo, 10 mesas) indicar el</w:t>
      </w:r>
    </w:p>
    <w:p w:rsidR="007878AD" w:rsidRDefault="007878AD" w:rsidP="007878AD">
      <w:pPr>
        <w:spacing w:after="0"/>
      </w:pPr>
      <w:r>
        <w:t>número de unidades y el precio por unidad, y si es por precios unitarios las unidades</w:t>
      </w:r>
    </w:p>
    <w:p w:rsidR="007878AD" w:rsidRDefault="007878AD" w:rsidP="007878AD">
      <w:pPr>
        <w:spacing w:after="0"/>
      </w:pPr>
      <w:r>
        <w:t>estimadas.</w:t>
      </w:r>
      <w:r w:rsidR="00A60CD9">
        <w:t xml:space="preserve"> </w:t>
      </w:r>
    </w:p>
    <w:p w:rsidR="007878AD" w:rsidRDefault="007878AD" w:rsidP="007878AD">
      <w:pPr>
        <w:spacing w:after="0"/>
      </w:pPr>
    </w:p>
    <w:p w:rsidR="00B92EC1" w:rsidRPr="00B92EC1" w:rsidRDefault="00A60CD9" w:rsidP="007878AD">
      <w:pPr>
        <w:pStyle w:val="Ttulo1"/>
        <w:numPr>
          <w:ilvl w:val="0"/>
          <w:numId w:val="2"/>
        </w:numPr>
        <w:ind w:left="426"/>
        <w:rPr>
          <w:color w:val="auto"/>
        </w:rPr>
      </w:pPr>
      <w:r w:rsidRPr="00AD70C9">
        <w:rPr>
          <w:color w:val="auto"/>
        </w:rPr>
        <w:t>DESCRIPCIÓN Y CARACTERÍSTICAS TÉCNICAS.</w:t>
      </w:r>
    </w:p>
    <w:p w:rsidR="00043E21" w:rsidRDefault="00A60CD9">
      <w:r>
        <w:t>Características técnicas mínimas que deber</w:t>
      </w:r>
      <w:r w:rsidR="00BC691F">
        <w:t>á reunir necesariamente la prestación objeto del contrato (si hubiera lotes, la descripción será individual para cada</w:t>
      </w:r>
      <w:r>
        <w:t xml:space="preserve"> lote</w:t>
      </w:r>
      <w:r w:rsidR="00BC691F">
        <w:t>).</w:t>
      </w:r>
    </w:p>
    <w:p w:rsidR="007878AD" w:rsidRDefault="007878AD"/>
    <w:p w:rsidR="00043E21" w:rsidRPr="00AD70C9" w:rsidRDefault="00A60CD9">
      <w:pPr>
        <w:pStyle w:val="Ttulo1"/>
        <w:numPr>
          <w:ilvl w:val="0"/>
          <w:numId w:val="2"/>
        </w:numPr>
        <w:ind w:left="426"/>
        <w:rPr>
          <w:color w:val="auto"/>
        </w:rPr>
      </w:pPr>
      <w:r w:rsidRPr="00AD70C9">
        <w:rPr>
          <w:color w:val="auto"/>
        </w:rPr>
        <w:t>CONDICIONES DE EJECUCIÓN DEL CONTRATO</w:t>
      </w:r>
    </w:p>
    <w:p w:rsidR="00043E21" w:rsidRDefault="00A60CD9">
      <w:pPr>
        <w:numPr>
          <w:ilvl w:val="0"/>
          <w:numId w:val="1"/>
        </w:numPr>
        <w:pBdr>
          <w:top w:val="nil"/>
          <w:left w:val="nil"/>
          <w:bottom w:val="nil"/>
          <w:right w:val="nil"/>
          <w:between w:val="nil"/>
        </w:pBdr>
        <w:spacing w:after="0"/>
        <w:ind w:left="567"/>
      </w:pPr>
      <w:r w:rsidRPr="00B92EC1">
        <w:rPr>
          <w:b/>
          <w:color w:val="000000"/>
        </w:rPr>
        <w:t>Plazo de duración</w:t>
      </w:r>
      <w:r>
        <w:rPr>
          <w:color w:val="000000"/>
        </w:rPr>
        <w:t xml:space="preserve"> del contrato.</w:t>
      </w:r>
    </w:p>
    <w:p w:rsidR="00043E21" w:rsidRDefault="00A60CD9">
      <w:pPr>
        <w:numPr>
          <w:ilvl w:val="0"/>
          <w:numId w:val="1"/>
        </w:numPr>
        <w:pBdr>
          <w:top w:val="nil"/>
          <w:left w:val="nil"/>
          <w:bottom w:val="nil"/>
          <w:right w:val="nil"/>
          <w:between w:val="nil"/>
        </w:pBdr>
        <w:spacing w:after="0"/>
        <w:ind w:left="567"/>
      </w:pPr>
      <w:r w:rsidRPr="00B92EC1">
        <w:rPr>
          <w:b/>
          <w:color w:val="000000"/>
        </w:rPr>
        <w:t xml:space="preserve">Plazos de ejecución </w:t>
      </w:r>
      <w:r>
        <w:rPr>
          <w:color w:val="000000"/>
        </w:rPr>
        <w:t>del suministro</w:t>
      </w:r>
      <w:r w:rsidR="00B92EC1">
        <w:rPr>
          <w:color w:val="000000"/>
        </w:rPr>
        <w:t>:</w:t>
      </w:r>
      <w:r>
        <w:rPr>
          <w:color w:val="000000"/>
        </w:rPr>
        <w:t xml:space="preserve"> Entrega d</w:t>
      </w:r>
      <w:r w:rsidR="00B92EC1">
        <w:rPr>
          <w:color w:val="000000"/>
        </w:rPr>
        <w:t>e la prestación</w:t>
      </w:r>
      <w:r>
        <w:rPr>
          <w:color w:val="000000"/>
        </w:rPr>
        <w:t xml:space="preserve"> de una vez o por fases.</w:t>
      </w:r>
    </w:p>
    <w:p w:rsidR="00043E21" w:rsidRDefault="00A60CD9">
      <w:pPr>
        <w:numPr>
          <w:ilvl w:val="0"/>
          <w:numId w:val="1"/>
        </w:numPr>
        <w:pBdr>
          <w:top w:val="nil"/>
          <w:left w:val="nil"/>
          <w:bottom w:val="nil"/>
          <w:right w:val="nil"/>
          <w:between w:val="nil"/>
        </w:pBdr>
        <w:spacing w:after="0"/>
        <w:ind w:left="567"/>
      </w:pPr>
      <w:r w:rsidRPr="00B21D5D">
        <w:rPr>
          <w:b/>
          <w:color w:val="000000"/>
        </w:rPr>
        <w:t>Lugar</w:t>
      </w:r>
      <w:r w:rsidR="00BC691F" w:rsidRPr="00B21D5D">
        <w:rPr>
          <w:b/>
          <w:color w:val="000000"/>
        </w:rPr>
        <w:t xml:space="preserve"> o lugares de entrega</w:t>
      </w:r>
      <w:r w:rsidR="00BC691F">
        <w:rPr>
          <w:color w:val="000000"/>
        </w:rPr>
        <w:t xml:space="preserve"> del suministro y</w:t>
      </w:r>
      <w:r>
        <w:rPr>
          <w:color w:val="000000"/>
        </w:rPr>
        <w:t xml:space="preserve"> </w:t>
      </w:r>
      <w:r w:rsidRPr="00B21D5D">
        <w:rPr>
          <w:b/>
          <w:color w:val="000000"/>
        </w:rPr>
        <w:t>modo</w:t>
      </w:r>
      <w:r w:rsidR="00BC691F" w:rsidRPr="00B21D5D">
        <w:rPr>
          <w:b/>
          <w:color w:val="000000"/>
        </w:rPr>
        <w:t xml:space="preserve"> o forma de entrega</w:t>
      </w:r>
      <w:r>
        <w:rPr>
          <w:color w:val="000000"/>
        </w:rPr>
        <w:t>.</w:t>
      </w:r>
    </w:p>
    <w:p w:rsidR="00043E21" w:rsidRDefault="00A60CD9">
      <w:pPr>
        <w:numPr>
          <w:ilvl w:val="0"/>
          <w:numId w:val="1"/>
        </w:numPr>
        <w:pBdr>
          <w:top w:val="nil"/>
          <w:left w:val="nil"/>
          <w:bottom w:val="nil"/>
          <w:right w:val="nil"/>
          <w:between w:val="nil"/>
        </w:pBdr>
        <w:spacing w:after="0"/>
        <w:ind w:left="567"/>
      </w:pPr>
      <w:bookmarkStart w:id="1" w:name="_heading=h.gjdgxs" w:colFirst="0" w:colLast="0"/>
      <w:bookmarkEnd w:id="1"/>
      <w:r w:rsidRPr="00B21D5D">
        <w:rPr>
          <w:b/>
          <w:color w:val="000000"/>
        </w:rPr>
        <w:t xml:space="preserve">Recepción </w:t>
      </w:r>
      <w:r w:rsidR="00BC691F" w:rsidRPr="00B21D5D">
        <w:rPr>
          <w:b/>
          <w:color w:val="000000"/>
        </w:rPr>
        <w:t>d</w:t>
      </w:r>
      <w:r w:rsidR="00BC691F">
        <w:rPr>
          <w:color w:val="000000"/>
        </w:rPr>
        <w:t xml:space="preserve">el suministro </w:t>
      </w:r>
      <w:r>
        <w:rPr>
          <w:color w:val="000000"/>
        </w:rPr>
        <w:t>y devolución.</w:t>
      </w:r>
    </w:p>
    <w:p w:rsidR="00043E21" w:rsidRPr="00B21D5D" w:rsidRDefault="00A60CD9">
      <w:pPr>
        <w:numPr>
          <w:ilvl w:val="0"/>
          <w:numId w:val="1"/>
        </w:numPr>
        <w:pBdr>
          <w:top w:val="nil"/>
          <w:left w:val="nil"/>
          <w:bottom w:val="nil"/>
          <w:right w:val="nil"/>
          <w:between w:val="nil"/>
        </w:pBdr>
        <w:ind w:left="567"/>
      </w:pPr>
      <w:r w:rsidRPr="00B21D5D">
        <w:rPr>
          <w:b/>
          <w:color w:val="000000"/>
        </w:rPr>
        <w:t>Forma pago/facturación</w:t>
      </w:r>
      <w:r w:rsidR="009A3EDC">
        <w:rPr>
          <w:color w:val="000000"/>
        </w:rPr>
        <w:t>, en su caso, al tratarse de previsión de inclusión obligatoria del PCAP.</w:t>
      </w:r>
    </w:p>
    <w:p w:rsidR="00B21D5D" w:rsidRDefault="00B21D5D" w:rsidP="00B21D5D">
      <w:pPr>
        <w:pBdr>
          <w:top w:val="nil"/>
          <w:left w:val="nil"/>
          <w:bottom w:val="nil"/>
          <w:right w:val="nil"/>
          <w:between w:val="nil"/>
        </w:pBdr>
      </w:pPr>
    </w:p>
    <w:p w:rsidR="00B21D5D" w:rsidRDefault="00B21D5D" w:rsidP="00B21D5D">
      <w:pPr>
        <w:pBdr>
          <w:top w:val="nil"/>
          <w:left w:val="nil"/>
          <w:bottom w:val="nil"/>
          <w:right w:val="nil"/>
          <w:between w:val="nil"/>
        </w:pBdr>
      </w:pPr>
    </w:p>
    <w:p w:rsidR="00043E21" w:rsidRDefault="00A60CD9">
      <w:pPr>
        <w:pStyle w:val="Ttulo1"/>
        <w:rPr>
          <w:color w:val="auto"/>
          <w:u w:val="single"/>
        </w:rPr>
      </w:pPr>
      <w:r w:rsidRPr="00AD70C9">
        <w:rPr>
          <w:color w:val="auto"/>
          <w:u w:val="single"/>
        </w:rPr>
        <w:t xml:space="preserve">ESQUEMA PPT. </w:t>
      </w:r>
      <w:r w:rsidR="00AD70C9">
        <w:rPr>
          <w:color w:val="auto"/>
          <w:u w:val="single"/>
        </w:rPr>
        <w:t xml:space="preserve"> CONTRATOS DE </w:t>
      </w:r>
      <w:r w:rsidRPr="00AD70C9">
        <w:rPr>
          <w:color w:val="auto"/>
          <w:u w:val="single"/>
        </w:rPr>
        <w:t>SERVICIO</w:t>
      </w:r>
      <w:r w:rsidR="00AD70C9">
        <w:rPr>
          <w:color w:val="auto"/>
          <w:u w:val="single"/>
        </w:rPr>
        <w:t>S.</w:t>
      </w:r>
    </w:p>
    <w:p w:rsidR="00B21D5D" w:rsidRPr="00B21D5D" w:rsidRDefault="00B21D5D" w:rsidP="00B21D5D"/>
    <w:p w:rsidR="00043E21" w:rsidRPr="00AD70C9" w:rsidRDefault="00A60CD9">
      <w:pPr>
        <w:pStyle w:val="Ttulo1"/>
        <w:numPr>
          <w:ilvl w:val="0"/>
          <w:numId w:val="3"/>
        </w:numPr>
        <w:ind w:left="426"/>
        <w:rPr>
          <w:color w:val="auto"/>
        </w:rPr>
      </w:pPr>
      <w:r w:rsidRPr="00AD70C9">
        <w:rPr>
          <w:color w:val="auto"/>
        </w:rPr>
        <w:t>OBJETO DEL CONTRATO</w:t>
      </w:r>
    </w:p>
    <w:p w:rsidR="00043E21" w:rsidRDefault="00A60CD9">
      <w:r>
        <w:t>El presente procedimiento tiene por objeto la contratación del servicio de …</w:t>
      </w:r>
      <w:r w:rsidR="00B21D5D">
        <w:t>……………</w:t>
      </w:r>
      <w:r>
        <w:t xml:space="preserve"> </w:t>
      </w:r>
    </w:p>
    <w:p w:rsidR="00043E21" w:rsidRDefault="00A60CD9">
      <w:r>
        <w:t xml:space="preserve">Posibilidad de realizar una visita al emplazamiento de las actuaciones. </w:t>
      </w:r>
      <w:r>
        <w:rPr>
          <w:i/>
        </w:rPr>
        <w:t>La fecha para la realización de la visita será fijada por el órgano de contratación y se hará pública en el Perfil del contratante junto con el correo electrónico en el que se deberá solicitar la misma</w:t>
      </w:r>
      <w:r>
        <w:t>.</w:t>
      </w:r>
    </w:p>
    <w:p w:rsidR="00043E21" w:rsidRPr="00AD70C9" w:rsidRDefault="00A60CD9">
      <w:pPr>
        <w:pStyle w:val="Ttulo1"/>
        <w:numPr>
          <w:ilvl w:val="0"/>
          <w:numId w:val="3"/>
        </w:numPr>
        <w:ind w:left="426"/>
        <w:rPr>
          <w:color w:val="auto"/>
        </w:rPr>
      </w:pPr>
      <w:r w:rsidRPr="00AD70C9">
        <w:rPr>
          <w:color w:val="auto"/>
        </w:rPr>
        <w:lastRenderedPageBreak/>
        <w:t>DIVISIÓN DEL CONTRATO EN LOTES</w:t>
      </w:r>
      <w:r w:rsidR="00B21D5D">
        <w:rPr>
          <w:color w:val="auto"/>
        </w:rPr>
        <w:t>, EN SU CASO.</w:t>
      </w:r>
    </w:p>
    <w:p w:rsidR="00043E21" w:rsidRDefault="00A60CD9">
      <w:r>
        <w:t>Enumeración de</w:t>
      </w:r>
      <w:r w:rsidR="00B21D5D">
        <w:t xml:space="preserve"> cada uno de</w:t>
      </w:r>
      <w:r>
        <w:t xml:space="preserve"> los lotes</w:t>
      </w:r>
      <w:r w:rsidR="00B21D5D">
        <w:t>.</w:t>
      </w:r>
    </w:p>
    <w:p w:rsidR="00B21D5D" w:rsidRDefault="00B21D5D"/>
    <w:p w:rsidR="00B21D5D" w:rsidRDefault="00B21D5D"/>
    <w:p w:rsidR="00B21D5D" w:rsidRDefault="00B21D5D"/>
    <w:p w:rsidR="00043E21" w:rsidRPr="00B21D5D" w:rsidRDefault="00A60CD9" w:rsidP="00B21D5D">
      <w:pPr>
        <w:pStyle w:val="Ttulo1"/>
        <w:numPr>
          <w:ilvl w:val="0"/>
          <w:numId w:val="3"/>
        </w:numPr>
        <w:ind w:left="426"/>
        <w:rPr>
          <w:color w:val="auto"/>
        </w:rPr>
      </w:pPr>
      <w:r w:rsidRPr="00AD70C9">
        <w:rPr>
          <w:color w:val="auto"/>
        </w:rPr>
        <w:t>DESCRIPCIÓN DE</w:t>
      </w:r>
      <w:r w:rsidR="00B21D5D">
        <w:rPr>
          <w:color w:val="auto"/>
        </w:rPr>
        <w:t>L</w:t>
      </w:r>
      <w:r w:rsidRPr="00AD70C9">
        <w:rPr>
          <w:color w:val="auto"/>
        </w:rPr>
        <w:t xml:space="preserve"> SERVICIO. C</w:t>
      </w:r>
      <w:r w:rsidRPr="00B21D5D">
        <w:rPr>
          <w:color w:val="auto"/>
        </w:rPr>
        <w:t>ARACTERÍSTICAS Y CONDICIONES TÉCNICAS.</w:t>
      </w:r>
    </w:p>
    <w:p w:rsidR="009A3EDC" w:rsidRPr="009A3EDC" w:rsidRDefault="00A60CD9" w:rsidP="009A3EDC">
      <w:pPr>
        <w:numPr>
          <w:ilvl w:val="0"/>
          <w:numId w:val="1"/>
        </w:numPr>
        <w:pBdr>
          <w:top w:val="nil"/>
          <w:left w:val="nil"/>
          <w:bottom w:val="nil"/>
          <w:right w:val="nil"/>
          <w:between w:val="nil"/>
        </w:pBdr>
        <w:spacing w:after="0"/>
        <w:ind w:left="567"/>
      </w:pPr>
      <w:r w:rsidRPr="006B36BA">
        <w:rPr>
          <w:b/>
          <w:color w:val="000000"/>
        </w:rPr>
        <w:t>Obligaciones del adjudicatario</w:t>
      </w:r>
      <w:r>
        <w:rPr>
          <w:color w:val="000000"/>
        </w:rPr>
        <w:t>. Equipo ejecutor</w:t>
      </w:r>
      <w:r w:rsidR="009A3EDC">
        <w:rPr>
          <w:color w:val="000000"/>
        </w:rPr>
        <w:t xml:space="preserve"> de la prestación/ redactor del proyecto.</w:t>
      </w:r>
      <w:r>
        <w:rPr>
          <w:color w:val="000000"/>
        </w:rPr>
        <w:t xml:space="preserve"> Personal mínimo para </w:t>
      </w:r>
      <w:r w:rsidRPr="009A3EDC">
        <w:rPr>
          <w:i/>
          <w:color w:val="000000"/>
        </w:rPr>
        <w:t>la realización del servicio y cualificación del mismo</w:t>
      </w:r>
      <w:r w:rsidR="009A3EDC" w:rsidRPr="009A3EDC">
        <w:rPr>
          <w:i/>
          <w:color w:val="000000"/>
        </w:rPr>
        <w:t xml:space="preserve">, que deberá estar </w:t>
      </w:r>
      <w:r w:rsidRPr="009A3EDC">
        <w:rPr>
          <w:i/>
          <w:color w:val="000000"/>
        </w:rPr>
        <w:t>adscrito de forma</w:t>
      </w:r>
      <w:r>
        <w:rPr>
          <w:i/>
          <w:color w:val="000000"/>
        </w:rPr>
        <w:t xml:space="preserve"> permanente a</w:t>
      </w:r>
      <w:r w:rsidR="009A3EDC">
        <w:rPr>
          <w:i/>
          <w:color w:val="000000"/>
        </w:rPr>
        <w:t xml:space="preserve"> la ejecución del</w:t>
      </w:r>
      <w:r>
        <w:rPr>
          <w:i/>
          <w:color w:val="000000"/>
        </w:rPr>
        <w:t xml:space="preserve"> contrato y estará a disposición del </w:t>
      </w:r>
      <w:proofErr w:type="gramStart"/>
      <w:r>
        <w:rPr>
          <w:i/>
          <w:color w:val="000000"/>
        </w:rPr>
        <w:t>Director</w:t>
      </w:r>
      <w:proofErr w:type="gramEnd"/>
      <w:r>
        <w:rPr>
          <w:i/>
          <w:color w:val="000000"/>
        </w:rPr>
        <w:t xml:space="preserve"> de los trabajo</w:t>
      </w:r>
      <w:r w:rsidR="009A3EDC">
        <w:rPr>
          <w:i/>
          <w:color w:val="000000"/>
        </w:rPr>
        <w:t xml:space="preserve">s </w:t>
      </w:r>
      <w:r w:rsidR="007878AD">
        <w:rPr>
          <w:i/>
          <w:color w:val="000000"/>
        </w:rPr>
        <w:t xml:space="preserve">o Responsable del contrato </w:t>
      </w:r>
      <w:r w:rsidR="009A3EDC" w:rsidRPr="007878AD">
        <w:rPr>
          <w:i/>
        </w:rPr>
        <w:t>designado por la Administración</w:t>
      </w:r>
      <w:r w:rsidRPr="007878AD">
        <w:rPr>
          <w:i/>
        </w:rPr>
        <w:t xml:space="preserve"> </w:t>
      </w:r>
      <w:r>
        <w:rPr>
          <w:i/>
          <w:color w:val="000000"/>
        </w:rPr>
        <w:t>para cualquier tipo de consulta.</w:t>
      </w:r>
    </w:p>
    <w:p w:rsidR="00043E21" w:rsidRPr="006B36BA" w:rsidRDefault="009A3EDC" w:rsidP="006B36BA">
      <w:pPr>
        <w:pBdr>
          <w:top w:val="nil"/>
          <w:left w:val="nil"/>
          <w:bottom w:val="nil"/>
          <w:right w:val="nil"/>
          <w:between w:val="nil"/>
        </w:pBdr>
        <w:spacing w:after="0"/>
        <w:ind w:left="567"/>
        <w:rPr>
          <w:i/>
          <w:color w:val="000000"/>
        </w:rPr>
      </w:pPr>
      <w:r>
        <w:rPr>
          <w:i/>
          <w:color w:val="000000"/>
        </w:rPr>
        <w:t>Cualquier modificación que afectare al personal adscrito a la ejecución del contrato,</w:t>
      </w:r>
      <w:r w:rsidR="00A60CD9" w:rsidRPr="009A3EDC">
        <w:rPr>
          <w:i/>
          <w:color w:val="000000"/>
        </w:rPr>
        <w:t xml:space="preserve"> </w:t>
      </w:r>
      <w:r>
        <w:rPr>
          <w:i/>
          <w:color w:val="000000"/>
        </w:rPr>
        <w:t xml:space="preserve">se </w:t>
      </w:r>
      <w:r w:rsidR="00A60CD9" w:rsidRPr="009A3EDC">
        <w:rPr>
          <w:i/>
          <w:color w:val="000000"/>
        </w:rPr>
        <w:t>notificará al Director de los trabajos,</w:t>
      </w:r>
      <w:r w:rsidR="00A9164F">
        <w:rPr>
          <w:i/>
          <w:color w:val="000000"/>
        </w:rPr>
        <w:t xml:space="preserve"> con</w:t>
      </w:r>
      <w:r w:rsidR="00A60CD9" w:rsidRPr="009A3EDC">
        <w:rPr>
          <w:i/>
          <w:color w:val="000000"/>
        </w:rPr>
        <w:t xml:space="preserve"> </w:t>
      </w:r>
      <w:r w:rsidR="006B36BA">
        <w:rPr>
          <w:i/>
          <w:color w:val="000000"/>
        </w:rPr>
        <w:t>indica</w:t>
      </w:r>
      <w:r w:rsidR="00A9164F">
        <w:rPr>
          <w:i/>
          <w:color w:val="000000"/>
        </w:rPr>
        <w:t>ción d</w:t>
      </w:r>
      <w:r w:rsidR="006B36BA">
        <w:rPr>
          <w:i/>
          <w:color w:val="000000"/>
        </w:rPr>
        <w:t>el nuevo</w:t>
      </w:r>
      <w:r w:rsidR="00A60CD9" w:rsidRPr="009A3EDC">
        <w:rPr>
          <w:i/>
          <w:color w:val="000000"/>
        </w:rPr>
        <w:t xml:space="preserve"> persona</w:t>
      </w:r>
      <w:r w:rsidR="006B36BA">
        <w:rPr>
          <w:i/>
          <w:color w:val="000000"/>
        </w:rPr>
        <w:t>l adscrito a su ejecución, al que se adjuntará</w:t>
      </w:r>
      <w:r w:rsidR="00A60CD9" w:rsidRPr="009A3EDC">
        <w:rPr>
          <w:i/>
          <w:color w:val="000000"/>
        </w:rPr>
        <w:t xml:space="preserve"> los documentos </w:t>
      </w:r>
      <w:r w:rsidR="006B36BA">
        <w:rPr>
          <w:i/>
          <w:color w:val="000000"/>
        </w:rPr>
        <w:t xml:space="preserve">necesarios </w:t>
      </w:r>
      <w:r w:rsidR="00A60CD9" w:rsidRPr="009A3EDC">
        <w:rPr>
          <w:i/>
          <w:color w:val="000000"/>
        </w:rPr>
        <w:t xml:space="preserve">que </w:t>
      </w:r>
      <w:r w:rsidR="006B36BA">
        <w:rPr>
          <w:i/>
          <w:color w:val="000000"/>
        </w:rPr>
        <w:t>acredite</w:t>
      </w:r>
      <w:r w:rsidR="00A60CD9" w:rsidRPr="009A3EDC">
        <w:rPr>
          <w:i/>
          <w:color w:val="000000"/>
        </w:rPr>
        <w:t xml:space="preserve"> que posee, al menos, las mismas c</w:t>
      </w:r>
      <w:r w:rsidR="006B36BA">
        <w:rPr>
          <w:i/>
          <w:color w:val="000000"/>
        </w:rPr>
        <w:t>ondiciones</w:t>
      </w:r>
      <w:r w:rsidR="00A60CD9" w:rsidRPr="009A3EDC">
        <w:rPr>
          <w:i/>
          <w:color w:val="000000"/>
        </w:rPr>
        <w:t xml:space="preserve"> de</w:t>
      </w:r>
      <w:r w:rsidR="006B36BA">
        <w:rPr>
          <w:i/>
          <w:color w:val="000000"/>
        </w:rPr>
        <w:t xml:space="preserve"> cualificación y</w:t>
      </w:r>
      <w:r w:rsidR="00A60CD9" w:rsidRPr="009A3EDC">
        <w:rPr>
          <w:i/>
          <w:color w:val="000000"/>
        </w:rPr>
        <w:t xml:space="preserve"> experiencia que </w:t>
      </w:r>
      <w:r w:rsidR="006B36BA">
        <w:rPr>
          <w:i/>
          <w:color w:val="000000"/>
        </w:rPr>
        <w:t>fueron</w:t>
      </w:r>
      <w:r w:rsidR="00A60CD9" w:rsidRPr="009A3EDC">
        <w:rPr>
          <w:i/>
          <w:color w:val="000000"/>
        </w:rPr>
        <w:t xml:space="preserve"> ofertadas</w:t>
      </w:r>
      <w:r w:rsidR="006B36BA">
        <w:rPr>
          <w:i/>
          <w:color w:val="000000"/>
        </w:rPr>
        <w:t xml:space="preserve"> por el adjudicatario.</w:t>
      </w:r>
    </w:p>
    <w:p w:rsidR="00043E21" w:rsidRDefault="00A60CD9">
      <w:pPr>
        <w:numPr>
          <w:ilvl w:val="0"/>
          <w:numId w:val="1"/>
        </w:numPr>
        <w:pBdr>
          <w:top w:val="nil"/>
          <w:left w:val="nil"/>
          <w:bottom w:val="nil"/>
          <w:right w:val="nil"/>
          <w:between w:val="nil"/>
        </w:pBdr>
        <w:spacing w:after="0"/>
        <w:ind w:left="567"/>
      </w:pPr>
      <w:r w:rsidRPr="006B36BA">
        <w:rPr>
          <w:b/>
          <w:color w:val="000000"/>
        </w:rPr>
        <w:t>Contenido mínimo del servicio</w:t>
      </w:r>
      <w:r>
        <w:rPr>
          <w:color w:val="000000"/>
        </w:rPr>
        <w:t xml:space="preserve"> a realizar</w:t>
      </w:r>
      <w:r w:rsidR="009A3EDC">
        <w:rPr>
          <w:color w:val="000000"/>
        </w:rPr>
        <w:t xml:space="preserve"> o</w:t>
      </w:r>
      <w:r w:rsidR="009A3EDC" w:rsidRPr="009A3EDC">
        <w:rPr>
          <w:color w:val="000000"/>
        </w:rPr>
        <w:t xml:space="preserve"> </w:t>
      </w:r>
      <w:r w:rsidR="009A3EDC">
        <w:rPr>
          <w:color w:val="000000"/>
        </w:rPr>
        <w:t>de los documentos técnicos si se tratare de encargo de redacción de proyecto.</w:t>
      </w:r>
    </w:p>
    <w:p w:rsidR="00043E21" w:rsidRDefault="00A60CD9">
      <w:pPr>
        <w:numPr>
          <w:ilvl w:val="0"/>
          <w:numId w:val="1"/>
        </w:numPr>
        <w:pBdr>
          <w:top w:val="nil"/>
          <w:left w:val="nil"/>
          <w:bottom w:val="nil"/>
          <w:right w:val="nil"/>
          <w:between w:val="nil"/>
        </w:pBdr>
        <w:ind w:left="567"/>
      </w:pPr>
      <w:r w:rsidRPr="006B36BA">
        <w:rPr>
          <w:b/>
          <w:color w:val="000000"/>
        </w:rPr>
        <w:t xml:space="preserve">Modo </w:t>
      </w:r>
      <w:r w:rsidR="006B36BA">
        <w:rPr>
          <w:b/>
          <w:color w:val="000000"/>
        </w:rPr>
        <w:t xml:space="preserve">o forma </w:t>
      </w:r>
      <w:r w:rsidRPr="006B36BA">
        <w:rPr>
          <w:b/>
          <w:color w:val="000000"/>
        </w:rPr>
        <w:t>de</w:t>
      </w:r>
      <w:r w:rsidR="006B36BA">
        <w:rPr>
          <w:b/>
          <w:color w:val="000000"/>
        </w:rPr>
        <w:t xml:space="preserve"> ejecución del servicio o de</w:t>
      </w:r>
      <w:r w:rsidRPr="006B36BA">
        <w:rPr>
          <w:b/>
          <w:color w:val="000000"/>
        </w:rPr>
        <w:t xml:space="preserve"> presentación</w:t>
      </w:r>
      <w:r>
        <w:rPr>
          <w:color w:val="000000"/>
        </w:rPr>
        <w:t xml:space="preserve"> de los documentos</w:t>
      </w:r>
      <w:r w:rsidR="009A3EDC">
        <w:rPr>
          <w:color w:val="000000"/>
        </w:rPr>
        <w:t xml:space="preserve"> técnicos</w:t>
      </w:r>
      <w:r>
        <w:rPr>
          <w:color w:val="000000"/>
        </w:rPr>
        <w:t xml:space="preserve"> en caso de </w:t>
      </w:r>
      <w:r w:rsidR="009A3EDC">
        <w:rPr>
          <w:color w:val="000000"/>
        </w:rPr>
        <w:t xml:space="preserve">que la prestación consista en la redacción de </w:t>
      </w:r>
      <w:r>
        <w:rPr>
          <w:color w:val="000000"/>
        </w:rPr>
        <w:t>proyectos</w:t>
      </w:r>
      <w:r w:rsidR="006B36BA">
        <w:rPr>
          <w:color w:val="000000"/>
        </w:rPr>
        <w:t>.</w:t>
      </w:r>
    </w:p>
    <w:p w:rsidR="00043E21" w:rsidRPr="00AD70C9" w:rsidRDefault="00A60CD9">
      <w:pPr>
        <w:pStyle w:val="Ttulo1"/>
        <w:numPr>
          <w:ilvl w:val="0"/>
          <w:numId w:val="3"/>
        </w:numPr>
        <w:ind w:left="426"/>
        <w:rPr>
          <w:color w:val="auto"/>
        </w:rPr>
      </w:pPr>
      <w:r w:rsidRPr="00AD70C9">
        <w:rPr>
          <w:color w:val="auto"/>
        </w:rPr>
        <w:t>CONDICIONES DE EJECUCIÓN DEL CONTRATO</w:t>
      </w:r>
      <w:r w:rsidR="00AD70C9">
        <w:rPr>
          <w:color w:val="auto"/>
        </w:rPr>
        <w:t>.</w:t>
      </w:r>
    </w:p>
    <w:p w:rsidR="00043E21" w:rsidRDefault="00A60CD9">
      <w:pPr>
        <w:numPr>
          <w:ilvl w:val="0"/>
          <w:numId w:val="1"/>
        </w:numPr>
        <w:pBdr>
          <w:top w:val="nil"/>
          <w:left w:val="nil"/>
          <w:bottom w:val="nil"/>
          <w:right w:val="nil"/>
          <w:between w:val="nil"/>
        </w:pBdr>
        <w:spacing w:after="0"/>
        <w:ind w:left="567"/>
      </w:pPr>
      <w:r w:rsidRPr="00B21D5D">
        <w:rPr>
          <w:b/>
          <w:color w:val="000000"/>
        </w:rPr>
        <w:t>Plazo de duración</w:t>
      </w:r>
      <w:r>
        <w:rPr>
          <w:color w:val="000000"/>
        </w:rPr>
        <w:t xml:space="preserve"> del contrato.</w:t>
      </w:r>
    </w:p>
    <w:p w:rsidR="00043E21" w:rsidRDefault="00A60CD9">
      <w:pPr>
        <w:numPr>
          <w:ilvl w:val="0"/>
          <w:numId w:val="1"/>
        </w:numPr>
        <w:pBdr>
          <w:top w:val="nil"/>
          <w:left w:val="nil"/>
          <w:bottom w:val="nil"/>
          <w:right w:val="nil"/>
          <w:between w:val="nil"/>
        </w:pBdr>
        <w:spacing w:after="0"/>
        <w:ind w:left="567"/>
      </w:pPr>
      <w:r w:rsidRPr="00B21D5D">
        <w:rPr>
          <w:b/>
          <w:color w:val="000000"/>
        </w:rPr>
        <w:t>Plazos de ejecución</w:t>
      </w:r>
      <w:r>
        <w:rPr>
          <w:color w:val="000000"/>
        </w:rPr>
        <w:t xml:space="preserve"> del servicio</w:t>
      </w:r>
      <w:r w:rsidR="00B21D5D">
        <w:rPr>
          <w:color w:val="000000"/>
        </w:rPr>
        <w:t>:</w:t>
      </w:r>
      <w:r>
        <w:rPr>
          <w:color w:val="000000"/>
        </w:rPr>
        <w:t xml:space="preserve"> Periodo único para todo el servicio o planificado en fases.</w:t>
      </w:r>
    </w:p>
    <w:p w:rsidR="00043E21" w:rsidRDefault="00A60CD9">
      <w:pPr>
        <w:numPr>
          <w:ilvl w:val="0"/>
          <w:numId w:val="1"/>
        </w:numPr>
        <w:pBdr>
          <w:top w:val="nil"/>
          <w:left w:val="nil"/>
          <w:bottom w:val="nil"/>
          <w:right w:val="nil"/>
          <w:between w:val="nil"/>
        </w:pBdr>
        <w:spacing w:after="0"/>
        <w:ind w:left="567"/>
      </w:pPr>
      <w:r w:rsidRPr="00B21D5D">
        <w:rPr>
          <w:b/>
          <w:color w:val="000000"/>
        </w:rPr>
        <w:t>Reuniones previas de planificación</w:t>
      </w:r>
      <w:r>
        <w:rPr>
          <w:color w:val="000000"/>
        </w:rPr>
        <w:t>.</w:t>
      </w:r>
    </w:p>
    <w:p w:rsidR="00043E21" w:rsidRDefault="00A60CD9">
      <w:pPr>
        <w:numPr>
          <w:ilvl w:val="0"/>
          <w:numId w:val="1"/>
        </w:numPr>
        <w:pBdr>
          <w:top w:val="nil"/>
          <w:left w:val="nil"/>
          <w:bottom w:val="nil"/>
          <w:right w:val="nil"/>
          <w:between w:val="nil"/>
        </w:pBdr>
        <w:spacing w:after="0"/>
        <w:ind w:left="567"/>
      </w:pPr>
      <w:r w:rsidRPr="00B21D5D">
        <w:rPr>
          <w:b/>
          <w:color w:val="000000"/>
        </w:rPr>
        <w:t>Notificación de incidencias</w:t>
      </w:r>
      <w:r>
        <w:rPr>
          <w:color w:val="000000"/>
        </w:rPr>
        <w:t xml:space="preserve"> durante la ejecución del contrato, </w:t>
      </w:r>
      <w:r>
        <w:rPr>
          <w:i/>
          <w:color w:val="000000"/>
        </w:rPr>
        <w:t xml:space="preserve">el adjudicatario deberá informar en primera instancia al </w:t>
      </w:r>
      <w:proofErr w:type="gramStart"/>
      <w:r w:rsidR="007878AD" w:rsidRPr="007878AD">
        <w:rPr>
          <w:i/>
        </w:rPr>
        <w:t>D</w:t>
      </w:r>
      <w:r w:rsidRPr="007878AD">
        <w:rPr>
          <w:i/>
        </w:rPr>
        <w:t>irector</w:t>
      </w:r>
      <w:proofErr w:type="gramEnd"/>
      <w:r w:rsidRPr="007878AD">
        <w:rPr>
          <w:i/>
        </w:rPr>
        <w:t xml:space="preserve"> de los trabajos</w:t>
      </w:r>
      <w:r w:rsidR="00B21D5D" w:rsidRPr="007878AD">
        <w:rPr>
          <w:i/>
        </w:rPr>
        <w:t xml:space="preserve"> </w:t>
      </w:r>
      <w:r w:rsidR="007878AD" w:rsidRPr="007878AD">
        <w:rPr>
          <w:i/>
        </w:rPr>
        <w:t>o Responsable del contrato designado por la Administración.</w:t>
      </w:r>
    </w:p>
    <w:p w:rsidR="00043E21" w:rsidRDefault="00A60CD9">
      <w:pPr>
        <w:numPr>
          <w:ilvl w:val="0"/>
          <w:numId w:val="1"/>
        </w:numPr>
        <w:pBdr>
          <w:top w:val="nil"/>
          <w:left w:val="nil"/>
          <w:bottom w:val="nil"/>
          <w:right w:val="nil"/>
          <w:between w:val="nil"/>
        </w:pBdr>
        <w:spacing w:after="0"/>
        <w:ind w:left="567"/>
      </w:pPr>
      <w:r w:rsidRPr="00B21D5D">
        <w:rPr>
          <w:b/>
          <w:color w:val="000000"/>
        </w:rPr>
        <w:t xml:space="preserve">Posibilidad de paralización </w:t>
      </w:r>
      <w:r w:rsidR="00B21D5D">
        <w:rPr>
          <w:b/>
          <w:color w:val="000000"/>
        </w:rPr>
        <w:t xml:space="preserve">o suspensión </w:t>
      </w:r>
      <w:r w:rsidRPr="00B21D5D">
        <w:rPr>
          <w:b/>
          <w:color w:val="000000"/>
        </w:rPr>
        <w:t>de l</w:t>
      </w:r>
      <w:r w:rsidR="00B21D5D">
        <w:rPr>
          <w:b/>
          <w:color w:val="000000"/>
        </w:rPr>
        <w:t>a prestación</w:t>
      </w:r>
      <w:r>
        <w:rPr>
          <w:color w:val="000000"/>
        </w:rPr>
        <w:t xml:space="preserve"> por motivos justificados</w:t>
      </w:r>
      <w:r w:rsidR="00B21D5D">
        <w:rPr>
          <w:color w:val="000000"/>
        </w:rPr>
        <w:t>, que deberá reflejarse en el acta correspondiente.</w:t>
      </w:r>
    </w:p>
    <w:p w:rsidR="00B21D5D" w:rsidRPr="00B21D5D" w:rsidRDefault="00B21D5D">
      <w:pPr>
        <w:numPr>
          <w:ilvl w:val="0"/>
          <w:numId w:val="1"/>
        </w:numPr>
        <w:pBdr>
          <w:top w:val="nil"/>
          <w:left w:val="nil"/>
          <w:bottom w:val="nil"/>
          <w:right w:val="nil"/>
          <w:between w:val="nil"/>
        </w:pBdr>
        <w:spacing w:after="0"/>
        <w:ind w:left="567"/>
      </w:pPr>
      <w:r>
        <w:rPr>
          <w:color w:val="000000"/>
        </w:rPr>
        <w:t>En su caso, p</w:t>
      </w:r>
      <w:r w:rsidR="00A60CD9">
        <w:rPr>
          <w:color w:val="000000"/>
        </w:rPr>
        <w:t>resentación de borrador previo de los trabajos</w:t>
      </w:r>
      <w:r>
        <w:rPr>
          <w:color w:val="000000"/>
        </w:rPr>
        <w:t xml:space="preserve"> contratados</w:t>
      </w:r>
      <w:r w:rsidR="006B36BA">
        <w:rPr>
          <w:color w:val="000000"/>
        </w:rPr>
        <w:t xml:space="preserve"> para su</w:t>
      </w:r>
      <w:r w:rsidR="00A60CD9">
        <w:rPr>
          <w:color w:val="000000"/>
        </w:rPr>
        <w:t xml:space="preserve"> revisión </w:t>
      </w:r>
      <w:r w:rsidR="006B36BA">
        <w:rPr>
          <w:color w:val="000000"/>
        </w:rPr>
        <w:t>por la Administración</w:t>
      </w:r>
      <w:r w:rsidR="00A60CD9">
        <w:rPr>
          <w:color w:val="000000"/>
        </w:rPr>
        <w:t xml:space="preserve"> y </w:t>
      </w:r>
      <w:r w:rsidR="006B36BA">
        <w:rPr>
          <w:color w:val="000000"/>
        </w:rPr>
        <w:t xml:space="preserve">eventual subsanación de las incidencias apreciadas, que se </w:t>
      </w:r>
      <w:r w:rsidR="00A60CD9">
        <w:rPr>
          <w:color w:val="000000"/>
        </w:rPr>
        <w:t>notifica</w:t>
      </w:r>
      <w:r w:rsidR="006B36BA">
        <w:rPr>
          <w:color w:val="000000"/>
        </w:rPr>
        <w:t>rán</w:t>
      </w:r>
      <w:r w:rsidR="00A60CD9">
        <w:rPr>
          <w:color w:val="000000"/>
        </w:rPr>
        <w:t xml:space="preserve"> al </w:t>
      </w:r>
      <w:r>
        <w:rPr>
          <w:color w:val="000000"/>
        </w:rPr>
        <w:t>adjudicatario,</w:t>
      </w:r>
      <w:r w:rsidR="00A60CD9">
        <w:rPr>
          <w:color w:val="000000"/>
        </w:rPr>
        <w:t xml:space="preserve"> indicando </w:t>
      </w:r>
      <w:r w:rsidR="006B36BA">
        <w:rPr>
          <w:color w:val="000000"/>
        </w:rPr>
        <w:t xml:space="preserve">el plazo los </w:t>
      </w:r>
      <w:r w:rsidR="00A60CD9">
        <w:rPr>
          <w:color w:val="000000"/>
        </w:rPr>
        <w:t xml:space="preserve">plazos para cada uno. </w:t>
      </w:r>
    </w:p>
    <w:p w:rsidR="00043E21" w:rsidRDefault="00A60CD9" w:rsidP="00B21D5D">
      <w:pPr>
        <w:pBdr>
          <w:top w:val="nil"/>
          <w:left w:val="nil"/>
          <w:bottom w:val="nil"/>
          <w:right w:val="nil"/>
          <w:between w:val="nil"/>
        </w:pBdr>
        <w:spacing w:after="0"/>
        <w:ind w:left="567"/>
      </w:pPr>
      <w:r>
        <w:rPr>
          <w:color w:val="000000"/>
        </w:rPr>
        <w:t xml:space="preserve">Plazo de entrega del trabajo definitivo una vez </w:t>
      </w:r>
      <w:r>
        <w:t>solventadas las deficiencias</w:t>
      </w:r>
      <w:r>
        <w:rPr>
          <w:color w:val="000000"/>
        </w:rPr>
        <w:t>.</w:t>
      </w:r>
    </w:p>
    <w:p w:rsidR="00043E21" w:rsidRPr="00B21D5D" w:rsidRDefault="00A60CD9">
      <w:pPr>
        <w:numPr>
          <w:ilvl w:val="0"/>
          <w:numId w:val="1"/>
        </w:numPr>
        <w:pBdr>
          <w:top w:val="nil"/>
          <w:left w:val="nil"/>
          <w:bottom w:val="nil"/>
          <w:right w:val="nil"/>
          <w:between w:val="nil"/>
        </w:pBdr>
        <w:spacing w:after="0"/>
        <w:ind w:left="567"/>
        <w:rPr>
          <w:b/>
        </w:rPr>
      </w:pPr>
      <w:r w:rsidRPr="00B21D5D">
        <w:rPr>
          <w:b/>
          <w:color w:val="000000"/>
        </w:rPr>
        <w:t>Actas de recepción de</w:t>
      </w:r>
      <w:r w:rsidR="00B21D5D">
        <w:rPr>
          <w:b/>
          <w:color w:val="000000"/>
        </w:rPr>
        <w:t>l</w:t>
      </w:r>
      <w:r w:rsidRPr="00B21D5D">
        <w:rPr>
          <w:b/>
          <w:color w:val="000000"/>
        </w:rPr>
        <w:t xml:space="preserve"> servicio</w:t>
      </w:r>
      <w:r w:rsidR="00B21D5D">
        <w:rPr>
          <w:b/>
          <w:color w:val="000000"/>
        </w:rPr>
        <w:t xml:space="preserve"> contratado (</w:t>
      </w:r>
      <w:r w:rsidRPr="00B21D5D">
        <w:rPr>
          <w:b/>
          <w:color w:val="000000"/>
        </w:rPr>
        <w:t>parcial/total</w:t>
      </w:r>
      <w:r w:rsidR="00B21D5D">
        <w:rPr>
          <w:b/>
          <w:color w:val="000000"/>
        </w:rPr>
        <w:t>).</w:t>
      </w:r>
      <w:r w:rsidRPr="00B21D5D">
        <w:rPr>
          <w:b/>
          <w:color w:val="000000"/>
        </w:rPr>
        <w:t xml:space="preserve"> Confidencialidad.</w:t>
      </w:r>
    </w:p>
    <w:p w:rsidR="009A3EDC" w:rsidRPr="00B21D5D" w:rsidRDefault="00A60CD9" w:rsidP="009A3EDC">
      <w:pPr>
        <w:numPr>
          <w:ilvl w:val="0"/>
          <w:numId w:val="1"/>
        </w:numPr>
        <w:pBdr>
          <w:top w:val="nil"/>
          <w:left w:val="nil"/>
          <w:bottom w:val="nil"/>
          <w:right w:val="nil"/>
          <w:between w:val="nil"/>
        </w:pBdr>
        <w:ind w:left="567"/>
      </w:pPr>
      <w:r w:rsidRPr="00B21D5D">
        <w:rPr>
          <w:b/>
          <w:color w:val="000000"/>
        </w:rPr>
        <w:t>Forma pago/facturación</w:t>
      </w:r>
      <w:r w:rsidR="009A3EDC">
        <w:rPr>
          <w:b/>
        </w:rPr>
        <w:t>,</w:t>
      </w:r>
      <w:r w:rsidR="009A3EDC" w:rsidRPr="009A3EDC">
        <w:rPr>
          <w:color w:val="000000"/>
        </w:rPr>
        <w:t xml:space="preserve"> </w:t>
      </w:r>
      <w:r w:rsidR="009A3EDC">
        <w:rPr>
          <w:color w:val="000000"/>
        </w:rPr>
        <w:t>en su caso, al tratarse de previsión de inclusión obligatoria del PCAP.</w:t>
      </w:r>
    </w:p>
    <w:p w:rsidR="00043E21" w:rsidRPr="00B21D5D" w:rsidRDefault="00043E21" w:rsidP="009A3EDC">
      <w:pPr>
        <w:pBdr>
          <w:top w:val="nil"/>
          <w:left w:val="nil"/>
          <w:bottom w:val="nil"/>
          <w:right w:val="nil"/>
          <w:between w:val="nil"/>
        </w:pBdr>
        <w:spacing w:after="0"/>
        <w:ind w:left="207"/>
        <w:rPr>
          <w:b/>
        </w:rPr>
      </w:pPr>
    </w:p>
    <w:p w:rsidR="00043E21" w:rsidRDefault="00043E21">
      <w:pPr>
        <w:pBdr>
          <w:top w:val="nil"/>
          <w:left w:val="nil"/>
          <w:bottom w:val="nil"/>
          <w:right w:val="nil"/>
          <w:between w:val="nil"/>
        </w:pBdr>
        <w:ind w:left="567"/>
        <w:rPr>
          <w:color w:val="000000"/>
        </w:rPr>
      </w:pPr>
    </w:p>
    <w:p w:rsidR="00043E21" w:rsidRPr="00AD70C9" w:rsidRDefault="00AD70C9">
      <w:pPr>
        <w:rPr>
          <w:b/>
        </w:rPr>
      </w:pPr>
      <w:r>
        <w:t xml:space="preserve">                       </w:t>
      </w:r>
      <w:r w:rsidR="00FD14E2">
        <w:t xml:space="preserve"> </w:t>
      </w:r>
      <w:r w:rsidRPr="00AD70C9">
        <w:rPr>
          <w:b/>
        </w:rPr>
        <w:t>PALENCIA, A 2</w:t>
      </w:r>
      <w:r w:rsidR="007878AD">
        <w:rPr>
          <w:b/>
        </w:rPr>
        <w:t xml:space="preserve">5 DE NOVIEMBRE </w:t>
      </w:r>
      <w:r w:rsidRPr="00AD70C9">
        <w:rPr>
          <w:b/>
        </w:rPr>
        <w:t>DE 2021.</w:t>
      </w:r>
    </w:p>
    <w:sectPr w:rsidR="00043E21" w:rsidRPr="00AD70C9" w:rsidSect="000363C4">
      <w:headerReference w:type="default" r:id="rId11"/>
      <w:pgSz w:w="11906" w:h="16838"/>
      <w:pgMar w:top="2269" w:right="1701" w:bottom="993" w:left="1701" w:header="284"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33FC" w:rsidRDefault="00A60CD9">
      <w:pPr>
        <w:spacing w:after="0"/>
      </w:pPr>
      <w:r>
        <w:separator/>
      </w:r>
    </w:p>
  </w:endnote>
  <w:endnote w:type="continuationSeparator" w:id="0">
    <w:p w:rsidR="00BC33FC" w:rsidRDefault="00A60CD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FiraSans-SemiBold">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33FC" w:rsidRDefault="00A60CD9">
      <w:pPr>
        <w:spacing w:after="0"/>
      </w:pPr>
      <w:r>
        <w:separator/>
      </w:r>
    </w:p>
  </w:footnote>
  <w:footnote w:type="continuationSeparator" w:id="0">
    <w:p w:rsidR="00BC33FC" w:rsidRDefault="00A60CD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3E21" w:rsidRDefault="00043E21">
    <w:pPr>
      <w:widowControl w:val="0"/>
      <w:pBdr>
        <w:top w:val="nil"/>
        <w:left w:val="nil"/>
        <w:bottom w:val="nil"/>
        <w:right w:val="nil"/>
        <w:between w:val="nil"/>
      </w:pBdr>
      <w:spacing w:after="0" w:line="276" w:lineRule="auto"/>
      <w:jc w:val="left"/>
    </w:pPr>
  </w:p>
  <w:tbl>
    <w:tblPr>
      <w:tblStyle w:val="a"/>
      <w:tblW w:w="9924" w:type="dxa"/>
      <w:tblInd w:w="-318" w:type="dxa"/>
      <w:tblLayout w:type="fixed"/>
      <w:tblLook w:val="0000" w:firstRow="0" w:lastRow="0" w:firstColumn="0" w:lastColumn="0" w:noHBand="0" w:noVBand="0"/>
    </w:tblPr>
    <w:tblGrid>
      <w:gridCol w:w="5246"/>
      <w:gridCol w:w="4678"/>
    </w:tblGrid>
    <w:tr w:rsidR="00043E21">
      <w:trPr>
        <w:trHeight w:val="315"/>
      </w:trPr>
      <w:tc>
        <w:tcPr>
          <w:tcW w:w="5246" w:type="dxa"/>
          <w:vMerge w:val="restart"/>
        </w:tcPr>
        <w:p w:rsidR="00043E21" w:rsidRDefault="00A60CD9">
          <w:pPr>
            <w:pBdr>
              <w:top w:val="nil"/>
              <w:left w:val="nil"/>
              <w:bottom w:val="nil"/>
              <w:right w:val="nil"/>
              <w:between w:val="nil"/>
            </w:pBdr>
            <w:tabs>
              <w:tab w:val="center" w:pos="4252"/>
              <w:tab w:val="right" w:pos="8504"/>
            </w:tabs>
            <w:rPr>
              <w:color w:val="000000"/>
            </w:rPr>
          </w:pPr>
          <w:r>
            <w:rPr>
              <w:noProof/>
              <w:color w:val="000000"/>
            </w:rPr>
            <w:drawing>
              <wp:inline distT="0" distB="0" distL="0" distR="0">
                <wp:extent cx="2232660" cy="670560"/>
                <wp:effectExtent l="0" t="0" r="0" b="0"/>
                <wp:docPr id="18" name="image1.jpg" descr="Logo Largo Color"/>
                <wp:cNvGraphicFramePr/>
                <a:graphic xmlns:a="http://schemas.openxmlformats.org/drawingml/2006/main">
                  <a:graphicData uri="http://schemas.openxmlformats.org/drawingml/2006/picture">
                    <pic:pic xmlns:pic="http://schemas.openxmlformats.org/drawingml/2006/picture">
                      <pic:nvPicPr>
                        <pic:cNvPr id="0" name="image1.jpg" descr="Logo Largo Color"/>
                        <pic:cNvPicPr preferRelativeResize="0"/>
                      </pic:nvPicPr>
                      <pic:blipFill>
                        <a:blip r:embed="rId1"/>
                        <a:srcRect/>
                        <a:stretch>
                          <a:fillRect/>
                        </a:stretch>
                      </pic:blipFill>
                      <pic:spPr>
                        <a:xfrm>
                          <a:off x="0" y="0"/>
                          <a:ext cx="2232660" cy="670560"/>
                        </a:xfrm>
                        <a:prstGeom prst="rect">
                          <a:avLst/>
                        </a:prstGeom>
                        <a:ln/>
                      </pic:spPr>
                    </pic:pic>
                  </a:graphicData>
                </a:graphic>
              </wp:inline>
            </w:drawing>
          </w:r>
        </w:p>
      </w:tc>
      <w:tc>
        <w:tcPr>
          <w:tcW w:w="4678" w:type="dxa"/>
          <w:tcBorders>
            <w:top w:val="nil"/>
            <w:left w:val="nil"/>
            <w:bottom w:val="single" w:sz="4" w:space="0" w:color="FFFFFF"/>
            <w:right w:val="nil"/>
          </w:tcBorders>
          <w:vAlign w:val="center"/>
        </w:tcPr>
        <w:p w:rsidR="00043E21" w:rsidRDefault="00043E21">
          <w:pPr>
            <w:pBdr>
              <w:top w:val="nil"/>
              <w:left w:val="nil"/>
              <w:bottom w:val="nil"/>
              <w:right w:val="nil"/>
              <w:between w:val="nil"/>
            </w:pBdr>
            <w:tabs>
              <w:tab w:val="center" w:pos="4252"/>
              <w:tab w:val="right" w:pos="8504"/>
            </w:tabs>
            <w:jc w:val="center"/>
            <w:rPr>
              <w:color w:val="000000"/>
            </w:rPr>
          </w:pPr>
        </w:p>
      </w:tc>
    </w:tr>
    <w:tr w:rsidR="00A60CD9">
      <w:trPr>
        <w:gridAfter w:val="1"/>
        <w:wAfter w:w="4678" w:type="dxa"/>
        <w:trHeight w:val="315"/>
      </w:trPr>
      <w:tc>
        <w:tcPr>
          <w:tcW w:w="5246" w:type="dxa"/>
          <w:vMerge/>
        </w:tcPr>
        <w:p w:rsidR="00A60CD9" w:rsidRDefault="00A60CD9">
          <w:pPr>
            <w:widowControl w:val="0"/>
            <w:pBdr>
              <w:top w:val="nil"/>
              <w:left w:val="nil"/>
              <w:bottom w:val="nil"/>
              <w:right w:val="nil"/>
              <w:between w:val="nil"/>
            </w:pBdr>
            <w:spacing w:after="0" w:line="276" w:lineRule="auto"/>
            <w:jc w:val="left"/>
            <w:rPr>
              <w:color w:val="000000"/>
            </w:rPr>
          </w:pPr>
        </w:p>
      </w:tc>
    </w:tr>
  </w:tbl>
  <w:p w:rsidR="00043E21" w:rsidRPr="00A60CD9" w:rsidRDefault="00A60CD9">
    <w:pPr>
      <w:pBdr>
        <w:top w:val="nil"/>
        <w:left w:val="nil"/>
        <w:bottom w:val="nil"/>
        <w:right w:val="nil"/>
        <w:between w:val="nil"/>
      </w:pBdr>
      <w:tabs>
        <w:tab w:val="center" w:pos="4252"/>
        <w:tab w:val="right" w:pos="8504"/>
      </w:tabs>
      <w:rPr>
        <w:b/>
        <w:color w:val="000000"/>
      </w:rPr>
    </w:pPr>
    <w:r w:rsidRPr="00A60CD9">
      <w:rPr>
        <w:b/>
        <w:color w:val="000000"/>
      </w:rPr>
      <w:t>UNIDAD FUNCIONAL DE CONTRATACION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F133F4"/>
    <w:multiLevelType w:val="multilevel"/>
    <w:tmpl w:val="8BEC6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AB2C1E"/>
    <w:multiLevelType w:val="multilevel"/>
    <w:tmpl w:val="4B00C6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A6C473A"/>
    <w:multiLevelType w:val="multilevel"/>
    <w:tmpl w:val="98D6EB42"/>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B321BDA"/>
    <w:multiLevelType w:val="multilevel"/>
    <w:tmpl w:val="750857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3E21"/>
    <w:rsid w:val="000363C4"/>
    <w:rsid w:val="00043E21"/>
    <w:rsid w:val="003D06F0"/>
    <w:rsid w:val="00413CCE"/>
    <w:rsid w:val="0054146B"/>
    <w:rsid w:val="00651A95"/>
    <w:rsid w:val="00693D06"/>
    <w:rsid w:val="006B36BA"/>
    <w:rsid w:val="007878AD"/>
    <w:rsid w:val="008266A9"/>
    <w:rsid w:val="00971FD2"/>
    <w:rsid w:val="009A3EDC"/>
    <w:rsid w:val="00A60CD9"/>
    <w:rsid w:val="00A9164F"/>
    <w:rsid w:val="00AD70C9"/>
    <w:rsid w:val="00B21D5D"/>
    <w:rsid w:val="00B92EC1"/>
    <w:rsid w:val="00BC33FC"/>
    <w:rsid w:val="00BC691F"/>
    <w:rsid w:val="00BE1C61"/>
    <w:rsid w:val="00DB5BE1"/>
    <w:rsid w:val="00F34609"/>
    <w:rsid w:val="00F45D9D"/>
    <w:rsid w:val="00F85A9B"/>
    <w:rsid w:val="00FD14E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595AD8"/>
  <w15:docId w15:val="{4D0A2891-5AAA-4B41-88E7-0A9358B84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s-ES" w:eastAsia="es-ES" w:bidi="ar-SA"/>
      </w:rPr>
    </w:rPrDefault>
    <w:pPrDefault>
      <w:pPr>
        <w:spacing w:after="12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0FFA"/>
  </w:style>
  <w:style w:type="paragraph" w:styleId="Ttulo1">
    <w:name w:val="heading 1"/>
    <w:basedOn w:val="Normal"/>
    <w:next w:val="Normal"/>
    <w:link w:val="Ttulo1Car"/>
    <w:uiPriority w:val="9"/>
    <w:qFormat/>
    <w:rsid w:val="00A41B65"/>
    <w:pPr>
      <w:keepNext/>
      <w:keepLines/>
      <w:spacing w:before="240"/>
      <w:outlineLvl w:val="0"/>
    </w:pPr>
    <w:rPr>
      <w:rFonts w:eastAsiaTheme="majorEastAsia" w:cstheme="majorBidi"/>
      <w:b/>
      <w:color w:val="365F91" w:themeColor="accent1" w:themeShade="BF"/>
      <w:szCs w:val="32"/>
    </w:rPr>
  </w:style>
  <w:style w:type="paragraph" w:styleId="Ttulo2">
    <w:name w:val="heading 2"/>
    <w:basedOn w:val="Normal"/>
    <w:next w:val="Normal"/>
    <w:link w:val="Ttulo2Car"/>
    <w:uiPriority w:val="9"/>
    <w:semiHidden/>
    <w:unhideWhenUsed/>
    <w:qFormat/>
    <w:rsid w:val="007648AA"/>
    <w:pPr>
      <w:keepNext/>
      <w:keepLines/>
      <w:outlineLvl w:val="1"/>
    </w:pPr>
    <w:rPr>
      <w:rFonts w:eastAsiaTheme="majorEastAsia" w:cstheme="majorBidi"/>
      <w:color w:val="365F91" w:themeColor="accent1" w:themeShade="BF"/>
      <w:szCs w:val="26"/>
    </w:rPr>
  </w:style>
  <w:style w:type="paragraph" w:styleId="Ttulo3">
    <w:name w:val="heading 3"/>
    <w:basedOn w:val="Normal"/>
    <w:next w:val="Normal"/>
    <w:link w:val="Ttulo3Car"/>
    <w:uiPriority w:val="9"/>
    <w:semiHidden/>
    <w:unhideWhenUsed/>
    <w:qFormat/>
    <w:rsid w:val="00B048C1"/>
    <w:pPr>
      <w:keepNext/>
      <w:spacing w:before="240" w:after="60"/>
      <w:jc w:val="left"/>
      <w:outlineLvl w:val="2"/>
    </w:pPr>
    <w:rPr>
      <w:rFonts w:ascii="Times New Roman" w:hAnsi="Times New Roman"/>
      <w:szCs w:val="24"/>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pPr>
    <w:rPr>
      <w:b/>
      <w:sz w:val="72"/>
      <w:szCs w:val="72"/>
    </w:rPr>
  </w:style>
  <w:style w:type="paragraph" w:styleId="Encabezado">
    <w:name w:val="header"/>
    <w:basedOn w:val="Normal"/>
    <w:link w:val="EncabezadoCar"/>
    <w:unhideWhenUsed/>
    <w:rsid w:val="009801E8"/>
    <w:pPr>
      <w:tabs>
        <w:tab w:val="center" w:pos="4252"/>
        <w:tab w:val="right" w:pos="8504"/>
      </w:tabs>
    </w:pPr>
  </w:style>
  <w:style w:type="character" w:customStyle="1" w:styleId="EncabezadoCar">
    <w:name w:val="Encabezado Car"/>
    <w:basedOn w:val="Fuentedeprrafopredeter"/>
    <w:link w:val="Encabezado"/>
    <w:rsid w:val="009801E8"/>
  </w:style>
  <w:style w:type="paragraph" w:styleId="Piedepgina">
    <w:name w:val="footer"/>
    <w:basedOn w:val="Normal"/>
    <w:link w:val="PiedepginaCar"/>
    <w:uiPriority w:val="99"/>
    <w:unhideWhenUsed/>
    <w:rsid w:val="009801E8"/>
    <w:pPr>
      <w:tabs>
        <w:tab w:val="center" w:pos="4252"/>
        <w:tab w:val="right" w:pos="8504"/>
      </w:tabs>
    </w:pPr>
  </w:style>
  <w:style w:type="character" w:customStyle="1" w:styleId="PiedepginaCar">
    <w:name w:val="Pie de página Car"/>
    <w:basedOn w:val="Fuentedeprrafopredeter"/>
    <w:link w:val="Piedepgina"/>
    <w:uiPriority w:val="99"/>
    <w:rsid w:val="009801E8"/>
  </w:style>
  <w:style w:type="paragraph" w:styleId="Prrafodelista">
    <w:name w:val="List Paragraph"/>
    <w:basedOn w:val="Normal"/>
    <w:uiPriority w:val="34"/>
    <w:qFormat/>
    <w:rsid w:val="007A0422"/>
    <w:pPr>
      <w:ind w:left="680"/>
      <w:contextualSpacing/>
    </w:pPr>
    <w:rPr>
      <w:rFonts w:eastAsiaTheme="minorEastAsia"/>
      <w:lang w:bidi="en-US"/>
    </w:rPr>
  </w:style>
  <w:style w:type="paragraph" w:styleId="Textodeglobo">
    <w:name w:val="Balloon Text"/>
    <w:basedOn w:val="Normal"/>
    <w:link w:val="TextodegloboCar"/>
    <w:uiPriority w:val="99"/>
    <w:semiHidden/>
    <w:unhideWhenUsed/>
    <w:rsid w:val="00205C04"/>
    <w:rPr>
      <w:rFonts w:ascii="Tahoma" w:hAnsi="Tahoma" w:cs="Tahoma"/>
      <w:sz w:val="16"/>
      <w:szCs w:val="16"/>
    </w:rPr>
  </w:style>
  <w:style w:type="character" w:customStyle="1" w:styleId="TextodegloboCar">
    <w:name w:val="Texto de globo Car"/>
    <w:basedOn w:val="Fuentedeprrafopredeter"/>
    <w:link w:val="Textodeglobo"/>
    <w:uiPriority w:val="99"/>
    <w:semiHidden/>
    <w:rsid w:val="00205C04"/>
    <w:rPr>
      <w:rFonts w:ascii="Tahoma" w:hAnsi="Tahoma" w:cs="Tahoma"/>
      <w:sz w:val="16"/>
      <w:szCs w:val="16"/>
    </w:rPr>
  </w:style>
  <w:style w:type="character" w:styleId="Hipervnculo">
    <w:name w:val="Hyperlink"/>
    <w:rsid w:val="00492CE0"/>
    <w:rPr>
      <w:color w:val="0000FF"/>
      <w:u w:val="single"/>
    </w:rPr>
  </w:style>
  <w:style w:type="character" w:styleId="Refdenotaalpie">
    <w:name w:val="footnote reference"/>
    <w:uiPriority w:val="99"/>
    <w:semiHidden/>
    <w:rsid w:val="00492CE0"/>
    <w:rPr>
      <w:position w:val="6"/>
      <w:sz w:val="16"/>
    </w:rPr>
  </w:style>
  <w:style w:type="paragraph" w:styleId="Textonotapie">
    <w:name w:val="footnote text"/>
    <w:basedOn w:val="Normal"/>
    <w:link w:val="TextonotapieCar"/>
    <w:uiPriority w:val="99"/>
    <w:unhideWhenUsed/>
    <w:rsid w:val="00492CE0"/>
    <w:rPr>
      <w:rFonts w:ascii="Calibri" w:eastAsia="Calibri" w:hAnsi="Calibri"/>
      <w:sz w:val="20"/>
    </w:rPr>
  </w:style>
  <w:style w:type="character" w:customStyle="1" w:styleId="TextonotapieCar">
    <w:name w:val="Texto nota pie Car"/>
    <w:basedOn w:val="Fuentedeprrafopredeter"/>
    <w:link w:val="Textonotapie"/>
    <w:uiPriority w:val="99"/>
    <w:rsid w:val="00492CE0"/>
    <w:rPr>
      <w:rFonts w:ascii="Calibri" w:eastAsia="Calibri" w:hAnsi="Calibri" w:cs="Times New Roman"/>
      <w:sz w:val="20"/>
      <w:szCs w:val="20"/>
    </w:rPr>
  </w:style>
  <w:style w:type="character" w:customStyle="1" w:styleId="Ttulo3Car">
    <w:name w:val="Título 3 Car"/>
    <w:basedOn w:val="Fuentedeprrafopredeter"/>
    <w:link w:val="Ttulo3"/>
    <w:rsid w:val="00B048C1"/>
    <w:rPr>
      <w:rFonts w:ascii="Times New Roman" w:eastAsia="Times New Roman" w:hAnsi="Times New Roman" w:cs="Times New Roman"/>
      <w:sz w:val="24"/>
      <w:szCs w:val="24"/>
      <w:lang w:eastAsia="es-ES"/>
    </w:rPr>
  </w:style>
  <w:style w:type="paragraph" w:customStyle="1" w:styleId="Estndar">
    <w:name w:val="Estándar"/>
    <w:rsid w:val="00B048C1"/>
    <w:pPr>
      <w:autoSpaceDE w:val="0"/>
      <w:autoSpaceDN w:val="0"/>
      <w:adjustRightInd w:val="0"/>
    </w:pPr>
    <w:rPr>
      <w:rFonts w:ascii="Times New Roman" w:eastAsia="Times New Roman" w:hAnsi="Times New Roman"/>
      <w:color w:val="000000"/>
      <w:sz w:val="24"/>
      <w:szCs w:val="24"/>
    </w:rPr>
  </w:style>
  <w:style w:type="table" w:styleId="Tablaconcuadrcula">
    <w:name w:val="Table Grid"/>
    <w:basedOn w:val="Tablanormal"/>
    <w:rsid w:val="00B048C1"/>
    <w:rPr>
      <w:rFonts w:ascii="Times New Roman" w:eastAsia="Times New Roman" w:hAnsi="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ntinuarlista">
    <w:name w:val="List Continue"/>
    <w:basedOn w:val="Normal"/>
    <w:rsid w:val="00B048C1"/>
    <w:pPr>
      <w:ind w:left="283"/>
      <w:contextualSpacing/>
      <w:jc w:val="left"/>
    </w:pPr>
    <w:rPr>
      <w:rFonts w:ascii="Times New Roman" w:hAnsi="Times New Roman"/>
      <w:sz w:val="20"/>
      <w:lang w:val="es-ES_tradnl"/>
    </w:rPr>
  </w:style>
  <w:style w:type="paragraph" w:styleId="Textoindependiente">
    <w:name w:val="Body Text"/>
    <w:basedOn w:val="Normal"/>
    <w:link w:val="TextoindependienteCar"/>
    <w:uiPriority w:val="99"/>
    <w:semiHidden/>
    <w:unhideWhenUsed/>
    <w:rsid w:val="00B048C1"/>
  </w:style>
  <w:style w:type="character" w:customStyle="1" w:styleId="TextoindependienteCar">
    <w:name w:val="Texto independiente Car"/>
    <w:basedOn w:val="Fuentedeprrafopredeter"/>
    <w:link w:val="Textoindependiente"/>
    <w:uiPriority w:val="99"/>
    <w:semiHidden/>
    <w:rsid w:val="00B048C1"/>
    <w:rPr>
      <w:rFonts w:ascii="Arial" w:eastAsia="Times New Roman" w:hAnsi="Arial" w:cs="Times New Roman"/>
      <w:sz w:val="24"/>
      <w:szCs w:val="20"/>
      <w:lang w:eastAsia="es-ES"/>
    </w:rPr>
  </w:style>
  <w:style w:type="paragraph" w:styleId="Textoindependienteprimerasangra">
    <w:name w:val="Body Text First Indent"/>
    <w:basedOn w:val="Textoindependiente"/>
    <w:link w:val="TextoindependienteprimerasangraCar"/>
    <w:rsid w:val="00B048C1"/>
    <w:pPr>
      <w:spacing w:after="0"/>
      <w:ind w:firstLine="360"/>
      <w:jc w:val="left"/>
    </w:pPr>
    <w:rPr>
      <w:rFonts w:ascii="Times New Roman" w:hAnsi="Times New Roman"/>
      <w:sz w:val="20"/>
      <w:lang w:val="es-ES_tradnl"/>
    </w:rPr>
  </w:style>
  <w:style w:type="character" w:customStyle="1" w:styleId="TextoindependienteprimerasangraCar">
    <w:name w:val="Texto independiente primera sangría Car"/>
    <w:basedOn w:val="TextoindependienteCar"/>
    <w:link w:val="Textoindependienteprimerasangra"/>
    <w:rsid w:val="00B048C1"/>
    <w:rPr>
      <w:rFonts w:ascii="Times New Roman" w:eastAsia="Times New Roman" w:hAnsi="Times New Roman" w:cs="Times New Roman"/>
      <w:sz w:val="20"/>
      <w:szCs w:val="20"/>
      <w:lang w:val="es-ES_tradnl" w:eastAsia="es-ES"/>
    </w:rPr>
  </w:style>
  <w:style w:type="paragraph" w:styleId="Textoindependiente3">
    <w:name w:val="Body Text 3"/>
    <w:basedOn w:val="Normal"/>
    <w:link w:val="Textoindependiente3Car"/>
    <w:rsid w:val="00B048C1"/>
    <w:pPr>
      <w:jc w:val="center"/>
    </w:pPr>
    <w:rPr>
      <w:rFonts w:ascii="Times New Roman" w:hAnsi="Times New Roman"/>
      <w:b/>
      <w:u w:val="single"/>
      <w:lang w:val="es-ES_tradnl"/>
    </w:rPr>
  </w:style>
  <w:style w:type="character" w:customStyle="1" w:styleId="Textoindependiente3Car">
    <w:name w:val="Texto independiente 3 Car"/>
    <w:basedOn w:val="Fuentedeprrafopredeter"/>
    <w:link w:val="Textoindependiente3"/>
    <w:rsid w:val="00B048C1"/>
    <w:rPr>
      <w:rFonts w:ascii="Times New Roman" w:eastAsia="Times New Roman" w:hAnsi="Times New Roman" w:cs="Times New Roman"/>
      <w:b/>
      <w:sz w:val="24"/>
      <w:szCs w:val="20"/>
      <w:u w:val="single"/>
      <w:lang w:val="es-ES_tradnl" w:eastAsia="es-ES"/>
    </w:rPr>
  </w:style>
  <w:style w:type="character" w:customStyle="1" w:styleId="Ttulo1Car">
    <w:name w:val="Título 1 Car"/>
    <w:basedOn w:val="Fuentedeprrafopredeter"/>
    <w:link w:val="Ttulo1"/>
    <w:uiPriority w:val="9"/>
    <w:rsid w:val="00A41B65"/>
    <w:rPr>
      <w:rFonts w:eastAsiaTheme="majorEastAsia" w:cstheme="majorBidi"/>
      <w:b/>
      <w:color w:val="365F91" w:themeColor="accent1" w:themeShade="BF"/>
      <w:szCs w:val="32"/>
    </w:rPr>
  </w:style>
  <w:style w:type="character" w:customStyle="1" w:styleId="Ttulo2Car">
    <w:name w:val="Título 2 Car"/>
    <w:basedOn w:val="Fuentedeprrafopredeter"/>
    <w:link w:val="Ttulo2"/>
    <w:uiPriority w:val="9"/>
    <w:rsid w:val="007648AA"/>
    <w:rPr>
      <w:rFonts w:ascii="Arial" w:eastAsiaTheme="majorEastAsia" w:hAnsi="Arial" w:cstheme="majorBidi"/>
      <w:color w:val="365F91" w:themeColor="accent1" w:themeShade="BF"/>
      <w:szCs w:val="26"/>
      <w:lang w:eastAsia="es-ES"/>
    </w:rPr>
  </w:style>
  <w:style w:type="character" w:styleId="Hipervnculovisitado">
    <w:name w:val="FollowedHyperlink"/>
    <w:basedOn w:val="Fuentedeprrafopredeter"/>
    <w:uiPriority w:val="99"/>
    <w:semiHidden/>
    <w:unhideWhenUsed/>
    <w:rsid w:val="00B417EB"/>
    <w:rPr>
      <w:color w:val="800080" w:themeColor="followedHyperlink"/>
      <w:u w:val="single"/>
    </w:rPr>
  </w:style>
  <w:style w:type="table" w:customStyle="1" w:styleId="Tablaconcuadrcula1">
    <w:name w:val="Tabla con cuadrícula1"/>
    <w:basedOn w:val="Tablanormal"/>
    <w:next w:val="Tablaconcuadrcula"/>
    <w:rsid w:val="00B42070"/>
    <w:rPr>
      <w:rFonts w:ascii="Times New Roman" w:eastAsia="Times New Roman" w:hAnsi="Times New Roman"/>
      <w:sz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4972972">
      <w:bodyDiv w:val="1"/>
      <w:marLeft w:val="0"/>
      <w:marRight w:val="0"/>
      <w:marTop w:val="0"/>
      <w:marBottom w:val="0"/>
      <w:divBdr>
        <w:top w:val="none" w:sz="0" w:space="0" w:color="auto"/>
        <w:left w:val="none" w:sz="0" w:space="0" w:color="auto"/>
        <w:bottom w:val="none" w:sz="0" w:space="0" w:color="auto"/>
        <w:right w:val="none" w:sz="0" w:space="0" w:color="auto"/>
      </w:divBdr>
      <w:divsChild>
        <w:div w:id="44834523">
          <w:marLeft w:val="0"/>
          <w:marRight w:val="0"/>
          <w:marTop w:val="120"/>
          <w:marBottom w:val="0"/>
          <w:divBdr>
            <w:top w:val="none" w:sz="0" w:space="0" w:color="auto"/>
            <w:left w:val="none" w:sz="0" w:space="0" w:color="auto"/>
            <w:bottom w:val="none" w:sz="0" w:space="0" w:color="auto"/>
            <w:right w:val="none" w:sz="0" w:space="0" w:color="auto"/>
          </w:divBdr>
        </w:div>
        <w:div w:id="677855586">
          <w:marLeft w:val="0"/>
          <w:marRight w:val="0"/>
          <w:marTop w:val="12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javascript:Redirection('LE0000517635_Vigente.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javascript:Redirection('LE0000175004_Vigente.HTML" TargetMode="External"/><Relationship Id="rId4" Type="http://schemas.openxmlformats.org/officeDocument/2006/relationships/settings" Target="settings.xml"/><Relationship Id="rId9" Type="http://schemas.openxmlformats.org/officeDocument/2006/relationships/hyperlink" Target="javascript:Redirection('LE0000175004_Vigente.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4OJW24w5XcV3U0Sns3E6ItE13tw==">AMUW2mW3wJFFSUM60fTl1FO6jTtcGto9DqYHs6QI6ppiKdkizxRdZWv7bHX19A6iZ1sGiHVMkggB45rrfjB5fG96lQnVkENWeu3Og6E3vKdo3h5R0yHSbfhbacxlkc7ZLY7GYWHWnaru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193</TotalTime>
  <Pages>5</Pages>
  <Words>1807</Words>
  <Characters>9943</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v_delrio</dc:creator>
  <cp:lastModifiedBy>Isaac Gallardo Tarrero</cp:lastModifiedBy>
  <cp:revision>12</cp:revision>
  <dcterms:created xsi:type="dcterms:W3CDTF">2021-06-10T18:08:00Z</dcterms:created>
  <dcterms:modified xsi:type="dcterms:W3CDTF">2021-11-23T08:38:00Z</dcterms:modified>
</cp:coreProperties>
</file>